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35"/>
        <w:gridCol w:w="1620"/>
        <w:gridCol w:w="1795"/>
      </w:tblGrid>
      <w:tr w:rsidR="00685C25" w:rsidTr="00FF4ED8">
        <w:tc>
          <w:tcPr>
            <w:tcW w:w="5935" w:type="dxa"/>
          </w:tcPr>
          <w:p w:rsidR="00685C25" w:rsidRPr="00E54BD1" w:rsidRDefault="00685C25" w:rsidP="00FF4ED8">
            <w:pPr>
              <w:pStyle w:val="Header"/>
              <w:ind w:left="-288" w:right="-282" w:firstLine="288"/>
              <w:rPr>
                <w:b/>
                <w:color w:val="000000"/>
                <w:sz w:val="40"/>
                <w:szCs w:val="40"/>
              </w:rPr>
            </w:pPr>
            <w:r w:rsidRPr="00E54BD1">
              <w:rPr>
                <w:b/>
                <w:color w:val="000000"/>
                <w:sz w:val="40"/>
                <w:szCs w:val="40"/>
              </w:rPr>
              <w:t xml:space="preserve">Rapid Response Policy </w:t>
            </w:r>
          </w:p>
          <w:p w:rsidR="00685C25" w:rsidRDefault="00685C25" w:rsidP="00FF4ED8"/>
        </w:tc>
        <w:tc>
          <w:tcPr>
            <w:tcW w:w="1620" w:type="dxa"/>
          </w:tcPr>
          <w:p w:rsidR="00685C25" w:rsidRDefault="00685C25" w:rsidP="00FF4ED8">
            <w:r>
              <w:t xml:space="preserve">Policy No. </w:t>
            </w:r>
          </w:p>
        </w:tc>
        <w:tc>
          <w:tcPr>
            <w:tcW w:w="1795" w:type="dxa"/>
          </w:tcPr>
          <w:p w:rsidR="00685C25" w:rsidRPr="007D6F57" w:rsidRDefault="00685C25" w:rsidP="00FF4ED8">
            <w:pPr>
              <w:rPr>
                <w:sz w:val="56"/>
                <w:szCs w:val="56"/>
              </w:rPr>
            </w:pPr>
            <w:r w:rsidRPr="007D6F57">
              <w:rPr>
                <w:sz w:val="56"/>
                <w:szCs w:val="56"/>
              </w:rPr>
              <w:t>19</w:t>
            </w:r>
          </w:p>
        </w:tc>
      </w:tr>
      <w:tr w:rsidR="00685C25" w:rsidTr="00FF4ED8">
        <w:tc>
          <w:tcPr>
            <w:tcW w:w="5935" w:type="dxa"/>
            <w:vMerge w:val="restart"/>
          </w:tcPr>
          <w:p w:rsidR="00685C25" w:rsidRPr="009D2F91" w:rsidRDefault="00685C25" w:rsidP="00FF4ED8">
            <w:pPr>
              <w:pStyle w:val="Header"/>
              <w:ind w:left="-288" w:right="-282" w:firstLine="288"/>
              <w:rPr>
                <w:rFonts w:eastAsia="+mn-ea"/>
                <w:b/>
                <w:bCs/>
                <w:color w:val="00607F"/>
                <w:kern w:val="24"/>
                <w:sz w:val="26"/>
                <w:szCs w:val="26"/>
              </w:rPr>
            </w:pPr>
            <w:r w:rsidRPr="00331488">
              <w:rPr>
                <w:rFonts w:eastAsia="+mn-ea"/>
                <w:b/>
                <w:bCs/>
                <w:color w:val="00607F"/>
                <w:kern w:val="24"/>
                <w:sz w:val="26"/>
                <w:szCs w:val="26"/>
              </w:rPr>
              <w:t>Greater Nebraska Workforce Development Area</w:t>
            </w:r>
            <w:r w:rsidRPr="009D2F91">
              <w:rPr>
                <w:rFonts w:eastAsia="+mn-ea"/>
                <w:b/>
                <w:bCs/>
                <w:color w:val="00607F"/>
                <w:kern w:val="24"/>
                <w:sz w:val="26"/>
                <w:szCs w:val="26"/>
              </w:rPr>
              <w:t xml:space="preserve"> </w:t>
            </w:r>
          </w:p>
          <w:p w:rsidR="00685C25" w:rsidRPr="00A93C42" w:rsidRDefault="00685C25" w:rsidP="00FF4ED8">
            <w:pPr>
              <w:pStyle w:val="Header"/>
              <w:ind w:left="-288" w:right="-282" w:firstLine="288"/>
              <w:rPr>
                <w:rFonts w:eastAsia="+mn-ea"/>
                <w:bCs/>
                <w:kern w:val="24"/>
              </w:rPr>
            </w:pPr>
            <w:r w:rsidRPr="00A93C42">
              <w:rPr>
                <w:rFonts w:eastAsia="+mn-ea"/>
                <w:bCs/>
                <w:kern w:val="24"/>
              </w:rPr>
              <w:t xml:space="preserve">550 South 16th Street </w:t>
            </w:r>
          </w:p>
          <w:p w:rsidR="00685C25" w:rsidRPr="00A93C42" w:rsidRDefault="00685C25" w:rsidP="00FF4ED8">
            <w:pPr>
              <w:pStyle w:val="Header"/>
              <w:ind w:left="-288" w:right="-282" w:firstLine="288"/>
              <w:rPr>
                <w:rFonts w:eastAsia="+mn-ea"/>
                <w:bCs/>
                <w:kern w:val="24"/>
              </w:rPr>
            </w:pPr>
            <w:r w:rsidRPr="00A93C42">
              <w:rPr>
                <w:rFonts w:eastAsia="+mn-ea"/>
                <w:bCs/>
                <w:kern w:val="24"/>
              </w:rPr>
              <w:t>Lincoln, NE 68508</w:t>
            </w:r>
          </w:p>
          <w:p w:rsidR="00685C25" w:rsidRPr="00A93C42" w:rsidRDefault="00685C25" w:rsidP="00FF4ED8">
            <w:pPr>
              <w:pStyle w:val="Header"/>
              <w:ind w:left="-288" w:right="-282" w:firstLine="288"/>
              <w:rPr>
                <w:rFonts w:eastAsia="+mn-ea"/>
                <w:bCs/>
                <w:kern w:val="24"/>
              </w:rPr>
            </w:pPr>
            <w:r w:rsidRPr="00A93C42">
              <w:rPr>
                <w:rFonts w:eastAsia="+mn-ea"/>
                <w:bCs/>
                <w:kern w:val="24"/>
              </w:rPr>
              <w:t>402.471.9878</w:t>
            </w:r>
          </w:p>
          <w:p w:rsidR="009D2F91" w:rsidRPr="00A93C42" w:rsidRDefault="00582AED" w:rsidP="009D2F91">
            <w:pPr>
              <w:pStyle w:val="NormalWeb"/>
              <w:spacing w:before="0" w:beforeAutospacing="0" w:after="0" w:afterAutospacing="0"/>
              <w:rPr>
                <w:sz w:val="20"/>
                <w:szCs w:val="20"/>
              </w:rPr>
            </w:pPr>
            <w:hyperlink r:id="rId7" w:history="1">
              <w:r w:rsidR="00685C25" w:rsidRPr="00A93C42">
                <w:rPr>
                  <w:rStyle w:val="Hyperlink"/>
                  <w:rFonts w:cs="Arial"/>
                  <w:sz w:val="20"/>
                  <w:szCs w:val="20"/>
                </w:rPr>
                <w:t>ndol.greaternebraska@nebraska.gov</w:t>
              </w:r>
            </w:hyperlink>
            <w:r w:rsidR="009D2F91" w:rsidRPr="00A93C42">
              <w:rPr>
                <w:rFonts w:cs="Arial"/>
                <w:sz w:val="20"/>
                <w:szCs w:val="20"/>
              </w:rPr>
              <w:t xml:space="preserve"> </w:t>
            </w:r>
          </w:p>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Effective Date</w:t>
            </w:r>
          </w:p>
        </w:tc>
        <w:tc>
          <w:tcPr>
            <w:tcW w:w="1795" w:type="dxa"/>
          </w:tcPr>
          <w:p w:rsidR="00685C25" w:rsidRDefault="00685C25" w:rsidP="00FF4ED8">
            <w:r>
              <w:t>7/1/2017</w:t>
            </w:r>
          </w:p>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Supersedes </w:t>
            </w:r>
          </w:p>
        </w:tc>
        <w:tc>
          <w:tcPr>
            <w:tcW w:w="1795" w:type="dxa"/>
          </w:tcPr>
          <w:p w:rsidR="00685C25" w:rsidRDefault="00685C25" w:rsidP="00FF4ED8">
            <w:r>
              <w:t xml:space="preserve">Rapid Response Policy – Attachment Q </w:t>
            </w:r>
          </w:p>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Revision Date</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Revision No. </w:t>
            </w:r>
          </w:p>
        </w:tc>
        <w:tc>
          <w:tcPr>
            <w:tcW w:w="1795" w:type="dxa"/>
          </w:tcPr>
          <w:p w:rsidR="00685C25" w:rsidRDefault="00685C25" w:rsidP="00FF4ED8"/>
        </w:tc>
      </w:tr>
      <w:tr w:rsidR="00685C25" w:rsidTr="00FF4ED8">
        <w:tc>
          <w:tcPr>
            <w:tcW w:w="5935" w:type="dxa"/>
            <w:vMerge/>
          </w:tcPr>
          <w:p w:rsidR="00685C25" w:rsidRDefault="00685C25" w:rsidP="00FF4ED8"/>
        </w:tc>
        <w:tc>
          <w:tcPr>
            <w:tcW w:w="1620" w:type="dxa"/>
          </w:tcPr>
          <w:p w:rsidR="00685C25" w:rsidRDefault="00685C25" w:rsidP="00FF4ED8">
            <w:r>
              <w:t xml:space="preserve">Approval </w:t>
            </w:r>
          </w:p>
        </w:tc>
        <w:tc>
          <w:tcPr>
            <w:tcW w:w="1795" w:type="dxa"/>
          </w:tcPr>
          <w:p w:rsidR="00685C25" w:rsidRDefault="00685C25" w:rsidP="00FF4ED8">
            <w:r>
              <w:t xml:space="preserve">GNWDB </w:t>
            </w:r>
          </w:p>
        </w:tc>
      </w:tr>
    </w:tbl>
    <w:p w:rsidR="00685C25" w:rsidRDefault="00685C25" w:rsidP="00685C25">
      <w:pPr>
        <w:spacing w:after="0" w:line="240" w:lineRule="auto"/>
        <w:rPr>
          <w:rFonts w:eastAsia="Times New Roman" w:cs="Times New Roman"/>
          <w:b/>
          <w:u w:val="single"/>
        </w:rPr>
      </w:pPr>
    </w:p>
    <w:p w:rsidR="00685C25" w:rsidRPr="00685C25" w:rsidRDefault="00685C25" w:rsidP="00685C25">
      <w:pPr>
        <w:spacing w:after="0" w:line="240" w:lineRule="auto"/>
        <w:rPr>
          <w:rFonts w:eastAsia="Times New Roman" w:cs="Times New Roman"/>
          <w:b/>
          <w:u w:val="single"/>
        </w:rPr>
      </w:pPr>
      <w:r w:rsidRPr="00685C25">
        <w:rPr>
          <w:rFonts w:eastAsia="+mn-ea" w:cs="Times New Roman"/>
          <w:b/>
          <w:bCs/>
          <w:color w:val="00607F"/>
          <w:kern w:val="24"/>
          <w:sz w:val="28"/>
          <w:szCs w:val="28"/>
          <w:u w:val="single"/>
        </w:rPr>
        <w:t>Reference</w:t>
      </w:r>
      <w:r w:rsidR="009D2F91" w:rsidRPr="009D2F91">
        <w:rPr>
          <w:rFonts w:eastAsia="Times New Roman" w:cs="Times New Roman"/>
          <w:b/>
          <w:u w:val="single"/>
        </w:rPr>
        <w:t xml:space="preserve"> </w:t>
      </w:r>
    </w:p>
    <w:p w:rsidR="00685C25" w:rsidRPr="00685C25" w:rsidRDefault="00685C25" w:rsidP="00685C25">
      <w:pPr>
        <w:spacing w:after="0" w:line="240" w:lineRule="auto"/>
        <w:rPr>
          <w:rFonts w:eastAsia="Times New Roman" w:cs="Times New Roman"/>
        </w:rPr>
      </w:pPr>
      <w:r w:rsidRPr="00685C25">
        <w:rPr>
          <w:rFonts w:eastAsia="Times New Roman" w:cs="Times New Roman"/>
        </w:rPr>
        <w:t>Workforce Innovation &amp; Opportunity Act (WIOA)</w:t>
      </w:r>
      <w:r>
        <w:rPr>
          <w:rFonts w:eastAsia="Times New Roman" w:cs="Times New Roman"/>
        </w:rPr>
        <w:t xml:space="preserve"> Section 134</w:t>
      </w:r>
      <w:r w:rsidR="00F528B1">
        <w:rPr>
          <w:rFonts w:eastAsia="Times New Roman" w:cs="Times New Roman"/>
        </w:rPr>
        <w:t>, 133</w:t>
      </w:r>
    </w:p>
    <w:p w:rsidR="00685C25" w:rsidRPr="00685C25" w:rsidRDefault="00685C25" w:rsidP="00685C25">
      <w:pPr>
        <w:spacing w:after="0" w:line="240" w:lineRule="auto"/>
        <w:rPr>
          <w:rFonts w:eastAsia="Times New Roman" w:cs="Times New Roman"/>
        </w:rPr>
      </w:pPr>
      <w:r w:rsidRPr="00685C25">
        <w:rPr>
          <w:rFonts w:eastAsia="Times New Roman" w:cs="Times New Roman"/>
        </w:rPr>
        <w:t xml:space="preserve">20 CFR Part 682, Subpart C </w:t>
      </w:r>
    </w:p>
    <w:p w:rsidR="00685C25" w:rsidRPr="00685C25" w:rsidRDefault="00685C25" w:rsidP="00685C25">
      <w:pPr>
        <w:spacing w:after="0" w:line="240" w:lineRule="auto"/>
        <w:rPr>
          <w:rFonts w:eastAsia="Times New Roman" w:cs="Times New Roman"/>
        </w:rPr>
      </w:pPr>
      <w:r>
        <w:rPr>
          <w:rFonts w:eastAsia="Times New Roman" w:cs="Times New Roman"/>
        </w:rPr>
        <w:t>Nebraska Department of Labor (NDOL)</w:t>
      </w:r>
      <w:r w:rsidRPr="00685C25">
        <w:rPr>
          <w:rFonts w:eastAsia="Times New Roman" w:cs="Times New Roman"/>
        </w:rPr>
        <w:t xml:space="preserve"> Interim Policy on Rapid Response </w:t>
      </w:r>
    </w:p>
    <w:p w:rsidR="009D2F91" w:rsidRDefault="00685C25" w:rsidP="009D2F91">
      <w:pPr>
        <w:pStyle w:val="NormalWeb"/>
        <w:spacing w:before="0" w:beforeAutospacing="0" w:after="0" w:afterAutospacing="0"/>
      </w:pPr>
      <w:r w:rsidRPr="00685C25">
        <w:t xml:space="preserve">NDOL Rapid Response Manual </w:t>
      </w:r>
      <w:r w:rsidR="009D2F91">
        <w:t xml:space="preserve">  </w:t>
      </w:r>
    </w:p>
    <w:p w:rsidR="00685C25" w:rsidRDefault="00685C25" w:rsidP="00685C25">
      <w:pPr>
        <w:spacing w:after="0" w:line="240" w:lineRule="auto"/>
        <w:rPr>
          <w:rFonts w:eastAsia="Times New Roman" w:cs="Times New Roman"/>
          <w:b/>
          <w:u w:val="single"/>
        </w:rPr>
      </w:pPr>
    </w:p>
    <w:p w:rsidR="00685C25" w:rsidRPr="00685C25" w:rsidRDefault="00685C25" w:rsidP="00685C25">
      <w:pPr>
        <w:spacing w:after="0" w:line="240" w:lineRule="auto"/>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Purpose</w:t>
      </w:r>
    </w:p>
    <w:p w:rsidR="00685C25" w:rsidRPr="00685C25" w:rsidRDefault="00685C25" w:rsidP="00685C25">
      <w:pPr>
        <w:spacing w:after="0" w:line="240" w:lineRule="auto"/>
        <w:rPr>
          <w:rFonts w:eastAsia="Times New Roman" w:cs="Times New Roman"/>
        </w:rPr>
      </w:pPr>
      <w:r w:rsidRPr="00685C25">
        <w:rPr>
          <w:rFonts w:eastAsia="Times New Roman" w:cs="Times New Roman"/>
        </w:rPr>
        <w:t xml:space="preserve">This policy establishes the process for coordinating state-wide rapid response activities in the local area. </w:t>
      </w:r>
    </w:p>
    <w:p w:rsidR="00685C25" w:rsidRPr="00685C25" w:rsidRDefault="00685C25" w:rsidP="00685C25">
      <w:pPr>
        <w:tabs>
          <w:tab w:val="left" w:pos="3660"/>
        </w:tabs>
        <w:spacing w:after="0" w:line="240" w:lineRule="auto"/>
        <w:rPr>
          <w:rFonts w:eastAsia="Times New Roman" w:cs="Times New Roman"/>
        </w:rPr>
      </w:pPr>
      <w:r w:rsidRPr="00685C25">
        <w:rPr>
          <w:rFonts w:eastAsia="Times New Roman" w:cs="Times New Roman"/>
        </w:rPr>
        <w:tab/>
      </w:r>
    </w:p>
    <w:p w:rsidR="00685C25" w:rsidRPr="00685C25" w:rsidRDefault="00685C25" w:rsidP="00685C25">
      <w:pPr>
        <w:spacing w:after="0" w:line="240" w:lineRule="auto"/>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Background </w:t>
      </w:r>
    </w:p>
    <w:p w:rsidR="00685C25" w:rsidRPr="00685C25" w:rsidRDefault="00685C25" w:rsidP="00685C25">
      <w:pPr>
        <w:spacing w:after="0" w:line="240" w:lineRule="auto"/>
        <w:jc w:val="both"/>
        <w:rPr>
          <w:rFonts w:eastAsia="Times New Roman" w:cs="Times New Roman"/>
        </w:rPr>
      </w:pPr>
      <w:r w:rsidRPr="00685C25">
        <w:rPr>
          <w:rFonts w:eastAsia="Times New Roman" w:cs="Times New Roman"/>
        </w:rPr>
        <w:t>Rapid Response is a required activity under WIOA to be ca</w:t>
      </w:r>
      <w:r>
        <w:rPr>
          <w:rFonts w:eastAsia="Times New Roman" w:cs="Times New Roman"/>
        </w:rPr>
        <w:t xml:space="preserve">rried out in local areas by </w:t>
      </w:r>
      <w:r w:rsidRPr="00685C25">
        <w:rPr>
          <w:rFonts w:eastAsia="Times New Roman" w:cs="Times New Roman"/>
        </w:rPr>
        <w:t>NDOL in conjunction with the Greater Nebraska Workforce Development Board (GNWDB), Chief Elected Officials Board (CEOB), and other stakeholders. Rapid Response involves strategies and activities necessary to (</w:t>
      </w:r>
      <w:proofErr w:type="spellStart"/>
      <w:r w:rsidRPr="00685C25">
        <w:rPr>
          <w:rFonts w:eastAsia="Times New Roman" w:cs="Times New Roman"/>
        </w:rPr>
        <w:t>i</w:t>
      </w:r>
      <w:proofErr w:type="spellEnd"/>
      <w:r w:rsidRPr="00685C25">
        <w:rPr>
          <w:rFonts w:eastAsia="Times New Roman" w:cs="Times New Roman"/>
        </w:rPr>
        <w:t xml:space="preserve">) plan for and quickly respond to announcements of business closures and layoffs and mass job dislocation resulting from natural or other disasters; (ii) deliver services that enable dislocated workers to transition to new employment as quickly as possible; and (iii) address the needs of businesses in transition to prevent or minimize the duration of unemployment. </w:t>
      </w:r>
    </w:p>
    <w:p w:rsidR="00685C25" w:rsidRDefault="00685C25" w:rsidP="00685C25">
      <w:pPr>
        <w:spacing w:after="0" w:line="240" w:lineRule="auto"/>
        <w:rPr>
          <w:rFonts w:eastAsia="Times New Roman" w:cs="Times New Roman"/>
        </w:rPr>
      </w:pPr>
    </w:p>
    <w:p w:rsidR="00685C25" w:rsidRPr="009D2F91" w:rsidRDefault="00685C25" w:rsidP="00685C25">
      <w:pPr>
        <w:spacing w:after="0" w:line="240" w:lineRule="auto"/>
        <w:rPr>
          <w:rFonts w:eastAsia="+mn-ea" w:cs="Times New Roman"/>
          <w:b/>
          <w:bCs/>
          <w:color w:val="00607F"/>
          <w:kern w:val="24"/>
          <w:sz w:val="28"/>
          <w:szCs w:val="28"/>
          <w:u w:val="single"/>
        </w:rPr>
      </w:pPr>
      <w:r w:rsidRPr="009D2F91">
        <w:rPr>
          <w:rFonts w:eastAsia="+mn-ea" w:cs="Times New Roman"/>
          <w:b/>
          <w:bCs/>
          <w:color w:val="00607F"/>
          <w:kern w:val="24"/>
          <w:sz w:val="28"/>
          <w:szCs w:val="28"/>
          <w:u w:val="single"/>
        </w:rPr>
        <w:t xml:space="preserve">Action </w:t>
      </w:r>
    </w:p>
    <w:p w:rsidR="00685C25" w:rsidRDefault="009D2F91" w:rsidP="00685C25">
      <w:pPr>
        <w:spacing w:after="0" w:line="240" w:lineRule="auto"/>
        <w:rPr>
          <w:rFonts w:eastAsia="Times New Roman" w:cs="Times New Roman"/>
        </w:rPr>
      </w:pPr>
      <w:r>
        <w:rPr>
          <w:rFonts w:eastAsia="Times New Roman" w:cs="Times New Roman"/>
        </w:rPr>
        <w:t>Effective 7/1/2017, r</w:t>
      </w:r>
      <w:r w:rsidR="00685C25">
        <w:rPr>
          <w:rFonts w:eastAsia="Times New Roman" w:cs="Times New Roman"/>
        </w:rPr>
        <w:t>egional managers, workforce coordinat</w:t>
      </w:r>
      <w:r>
        <w:rPr>
          <w:rFonts w:eastAsia="Times New Roman" w:cs="Times New Roman"/>
        </w:rPr>
        <w:t>ors, and other service provider</w:t>
      </w:r>
      <w:r w:rsidR="00685C25">
        <w:rPr>
          <w:rFonts w:eastAsia="Times New Roman" w:cs="Times New Roman"/>
        </w:rPr>
        <w:t xml:space="preserve"> staff </w:t>
      </w:r>
      <w:r>
        <w:rPr>
          <w:rFonts w:eastAsia="Times New Roman" w:cs="Times New Roman"/>
        </w:rPr>
        <w:t xml:space="preserve">must implement this policy. </w:t>
      </w:r>
    </w:p>
    <w:p w:rsidR="00685C25" w:rsidRPr="00685C25" w:rsidRDefault="00685C25" w:rsidP="00685C25">
      <w:pPr>
        <w:spacing w:after="0" w:line="240" w:lineRule="auto"/>
        <w:rPr>
          <w:rFonts w:eastAsia="Times New Roman" w:cs="Times New Roman"/>
        </w:rPr>
      </w:pPr>
    </w:p>
    <w:p w:rsidR="00685C25" w:rsidRPr="00685C25" w:rsidRDefault="00685C25" w:rsidP="00685C25">
      <w:pPr>
        <w:spacing w:after="0" w:line="240" w:lineRule="auto"/>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Policy </w:t>
      </w:r>
    </w:p>
    <w:p w:rsidR="00685C25" w:rsidRPr="00685C25" w:rsidRDefault="00685C25" w:rsidP="00685C25">
      <w:pPr>
        <w:spacing w:after="0" w:line="240" w:lineRule="auto"/>
        <w:rPr>
          <w:rFonts w:eastAsia="Times New Roman" w:cs="Times New Roman"/>
        </w:rPr>
      </w:pPr>
      <w:r>
        <w:rPr>
          <w:rFonts w:eastAsia="Times New Roman" w:cs="Times New Roman"/>
        </w:rPr>
        <w:t>NDOL</w:t>
      </w:r>
      <w:r w:rsidRPr="00685C25">
        <w:rPr>
          <w:rFonts w:eastAsia="Times New Roman" w:cs="Times New Roman"/>
        </w:rPr>
        <w:t>’s Rapid Response Unit will coordinate all rapid response activities in the local area. The local area will work in conjunction with the Rapid Response Unit.</w:t>
      </w:r>
      <w:r w:rsidRPr="00685C25">
        <w:rPr>
          <w:rFonts w:eastAsia="Times New Roman" w:cs="Times New Roman"/>
          <w:vertAlign w:val="superscript"/>
        </w:rPr>
        <w:footnoteReference w:id="1"/>
      </w:r>
    </w:p>
    <w:p w:rsidR="00685C25" w:rsidRPr="00685C25" w:rsidRDefault="00685C25" w:rsidP="00685C25">
      <w:pPr>
        <w:spacing w:after="0" w:line="240" w:lineRule="auto"/>
        <w:rPr>
          <w:rFonts w:eastAsia="Times New Roman" w:cs="Times New Roman"/>
        </w:rPr>
      </w:pPr>
    </w:p>
    <w:p w:rsidR="00685C25" w:rsidRPr="00685C25" w:rsidRDefault="00685C25" w:rsidP="00685C25">
      <w:pPr>
        <w:spacing w:after="0" w:line="240" w:lineRule="auto"/>
        <w:rPr>
          <w:rFonts w:eastAsia="Times New Roman" w:cs="Times New Roman"/>
          <w:u w:val="single"/>
        </w:rPr>
      </w:pPr>
      <w:r w:rsidRPr="00685C25">
        <w:rPr>
          <w:rFonts w:eastAsia="Times New Roman" w:cs="Times New Roman"/>
          <w:u w:val="single"/>
        </w:rPr>
        <w:t xml:space="preserve">The local area shall ensure that: </w:t>
      </w:r>
    </w:p>
    <w:p w:rsidR="00685C25" w:rsidRPr="00685C25" w:rsidRDefault="00685C25" w:rsidP="00685C25">
      <w:pPr>
        <w:spacing w:after="0" w:line="240" w:lineRule="auto"/>
        <w:rPr>
          <w:rFonts w:eastAsia="Times New Roman" w:cs="Times New Roman"/>
        </w:rPr>
      </w:pPr>
    </w:p>
    <w:p w:rsidR="00685C25" w:rsidRPr="00685C25" w:rsidRDefault="00685C25" w:rsidP="00685C25">
      <w:pPr>
        <w:numPr>
          <w:ilvl w:val="0"/>
          <w:numId w:val="1"/>
        </w:numPr>
        <w:spacing w:after="0" w:line="240" w:lineRule="auto"/>
        <w:rPr>
          <w:rFonts w:eastAsia="Times New Roman" w:cs="Times New Roman"/>
        </w:rPr>
      </w:pPr>
      <w:r w:rsidRPr="00685C25">
        <w:rPr>
          <w:rFonts w:eastAsia="Times New Roman" w:cs="Times New Roman"/>
        </w:rPr>
        <w:t xml:space="preserve">If a local representative becomes aware of a potential layoff or closure, they will notify the State Rapid Response Coordinator, via </w:t>
      </w:r>
      <w:hyperlink r:id="rId8" w:history="1">
        <w:r w:rsidR="009D2F91" w:rsidRPr="00685C25">
          <w:rPr>
            <w:rFonts w:eastAsia="Times New Roman" w:cs="Times New Roman"/>
            <w:color w:val="0000FF"/>
            <w:szCs w:val="26"/>
            <w:u w:val="single"/>
          </w:rPr>
          <w:t>NDOL.RapidResponse@nebraska.gov</w:t>
        </w:r>
      </w:hyperlink>
      <w:r w:rsidR="009D2F91" w:rsidRPr="00685C25">
        <w:rPr>
          <w:rFonts w:eastAsia="Times New Roman" w:cs="Times New Roman"/>
          <w:color w:val="0000FF"/>
          <w:szCs w:val="26"/>
          <w:u w:val="single"/>
        </w:rPr>
        <w:t xml:space="preserve"> . </w:t>
      </w:r>
    </w:p>
    <w:p w:rsidR="00685C25" w:rsidRPr="00685C25" w:rsidRDefault="00685C25" w:rsidP="00685C25">
      <w:pPr>
        <w:spacing w:after="0" w:line="240" w:lineRule="auto"/>
        <w:rPr>
          <w:rFonts w:eastAsia="Times New Roman" w:cs="Times New Roman"/>
        </w:rPr>
      </w:pPr>
    </w:p>
    <w:p w:rsidR="00685C25" w:rsidRPr="00685C25" w:rsidRDefault="00685C25" w:rsidP="00685C25">
      <w:pPr>
        <w:numPr>
          <w:ilvl w:val="0"/>
          <w:numId w:val="1"/>
        </w:numPr>
        <w:spacing w:after="0" w:line="240" w:lineRule="auto"/>
        <w:rPr>
          <w:rFonts w:eastAsia="Times New Roman" w:cs="Times New Roman"/>
        </w:rPr>
      </w:pPr>
      <w:r w:rsidRPr="00685C25">
        <w:rPr>
          <w:rFonts w:eastAsia="Times New Roman" w:cs="Times New Roman"/>
        </w:rPr>
        <w:t>A representative of the dislocated worker program provides program specific information at all onsite meetings.</w:t>
      </w:r>
    </w:p>
    <w:p w:rsidR="00685C25" w:rsidRPr="00685C25" w:rsidRDefault="00685C25" w:rsidP="00685C25">
      <w:pPr>
        <w:spacing w:after="0" w:line="240" w:lineRule="auto"/>
        <w:rPr>
          <w:rFonts w:eastAsia="Times New Roman" w:cs="Times New Roman"/>
        </w:rPr>
      </w:pPr>
    </w:p>
    <w:p w:rsidR="00685C25" w:rsidRPr="00685C25" w:rsidRDefault="00685C25" w:rsidP="00685C25">
      <w:pPr>
        <w:numPr>
          <w:ilvl w:val="0"/>
          <w:numId w:val="1"/>
        </w:numPr>
        <w:spacing w:after="0" w:line="240" w:lineRule="auto"/>
        <w:rPr>
          <w:rFonts w:eastAsia="Times New Roman" w:cs="Times New Roman"/>
        </w:rPr>
      </w:pPr>
      <w:r w:rsidRPr="00685C25">
        <w:rPr>
          <w:rFonts w:eastAsia="Times New Roman" w:cs="Times New Roman"/>
        </w:rPr>
        <w:lastRenderedPageBreak/>
        <w:t xml:space="preserve">When an onsite meeting cannot be arranged, content for outreach to employees and employers is provided to the Rapid Response Unit. </w:t>
      </w:r>
    </w:p>
    <w:p w:rsidR="00685C25" w:rsidRPr="00685C25" w:rsidRDefault="00685C25" w:rsidP="00685C25">
      <w:pPr>
        <w:spacing w:after="0" w:line="240" w:lineRule="auto"/>
        <w:rPr>
          <w:rFonts w:eastAsia="Times New Roman" w:cs="Times New Roman"/>
        </w:rPr>
      </w:pPr>
    </w:p>
    <w:p w:rsidR="00685C25" w:rsidRPr="00685C25" w:rsidRDefault="00685C25" w:rsidP="00685C25">
      <w:pPr>
        <w:numPr>
          <w:ilvl w:val="0"/>
          <w:numId w:val="1"/>
        </w:numPr>
        <w:spacing w:after="0" w:line="240" w:lineRule="auto"/>
        <w:rPr>
          <w:rFonts w:eastAsia="Times New Roman" w:cs="Times New Roman"/>
        </w:rPr>
      </w:pPr>
      <w:r w:rsidRPr="00685C25">
        <w:rPr>
          <w:rFonts w:eastAsia="Times New Roman" w:cs="Times New Roman"/>
        </w:rPr>
        <w:t xml:space="preserve">The One-Stop Center or affiliated site will provide additional follow-up with employees when needed. </w:t>
      </w:r>
    </w:p>
    <w:p w:rsidR="00685C25" w:rsidRPr="00685C25" w:rsidRDefault="00685C25" w:rsidP="00685C25">
      <w:pPr>
        <w:spacing w:after="0" w:line="240" w:lineRule="auto"/>
        <w:ind w:firstLine="60"/>
        <w:rPr>
          <w:rFonts w:eastAsia="Times New Roman" w:cs="Times New Roman"/>
        </w:rPr>
      </w:pPr>
    </w:p>
    <w:p w:rsidR="00685C25" w:rsidRPr="00685C25" w:rsidRDefault="00685C25" w:rsidP="00685C25">
      <w:pPr>
        <w:numPr>
          <w:ilvl w:val="0"/>
          <w:numId w:val="1"/>
        </w:numPr>
        <w:spacing w:after="0" w:line="240" w:lineRule="auto"/>
        <w:rPr>
          <w:rFonts w:eastAsia="Times New Roman" w:cs="Times New Roman"/>
        </w:rPr>
      </w:pPr>
      <w:r w:rsidRPr="00685C25">
        <w:rPr>
          <w:rFonts w:eastAsia="Times New Roman" w:cs="Times New Roman"/>
        </w:rPr>
        <w:t>Workshops and career fairs, based on identified affected workforce needs, are coordinated in partnership with the Wagner-</w:t>
      </w:r>
      <w:proofErr w:type="spellStart"/>
      <w:r w:rsidRPr="00685C25">
        <w:rPr>
          <w:rFonts w:eastAsia="Times New Roman" w:cs="Times New Roman"/>
        </w:rPr>
        <w:t>Peyser</w:t>
      </w:r>
      <w:proofErr w:type="spellEnd"/>
      <w:r w:rsidRPr="00685C25">
        <w:rPr>
          <w:rFonts w:eastAsia="Times New Roman" w:cs="Times New Roman"/>
        </w:rPr>
        <w:t xml:space="preserve"> Program.  </w:t>
      </w:r>
    </w:p>
    <w:p w:rsidR="00685C25" w:rsidRPr="00685C25" w:rsidRDefault="00685C25" w:rsidP="00685C25">
      <w:pPr>
        <w:spacing w:after="0" w:line="240" w:lineRule="auto"/>
        <w:ind w:left="720"/>
        <w:rPr>
          <w:rFonts w:eastAsia="Times New Roman" w:cs="Times New Roman"/>
        </w:rPr>
      </w:pPr>
    </w:p>
    <w:p w:rsidR="00685C25" w:rsidRDefault="00685C25" w:rsidP="00685C25">
      <w:pPr>
        <w:numPr>
          <w:ilvl w:val="0"/>
          <w:numId w:val="1"/>
        </w:numPr>
        <w:spacing w:after="0" w:line="240" w:lineRule="auto"/>
        <w:rPr>
          <w:rFonts w:eastAsia="Times New Roman" w:cs="Times New Roman"/>
        </w:rPr>
      </w:pPr>
      <w:r w:rsidRPr="00685C25">
        <w:rPr>
          <w:rFonts w:eastAsia="Times New Roman" w:cs="Times New Roman"/>
        </w:rPr>
        <w:t xml:space="preserve">Additional community resources, outside of the mandated partners, are identified.  </w:t>
      </w:r>
    </w:p>
    <w:p w:rsidR="00582AED" w:rsidRDefault="00582AED" w:rsidP="00582AED">
      <w:pPr>
        <w:pStyle w:val="ListParagraph"/>
        <w:rPr>
          <w:rFonts w:eastAsia="Times New Roman" w:cs="Times New Roman"/>
        </w:rPr>
      </w:pPr>
    </w:p>
    <w:p w:rsidR="00582AED" w:rsidRPr="00685C25" w:rsidRDefault="00582AED" w:rsidP="00685C25">
      <w:pPr>
        <w:numPr>
          <w:ilvl w:val="0"/>
          <w:numId w:val="1"/>
        </w:numPr>
        <w:spacing w:after="0" w:line="240" w:lineRule="auto"/>
        <w:rPr>
          <w:rFonts w:eastAsia="Times New Roman" w:cs="Times New Roman"/>
        </w:rPr>
      </w:pPr>
      <w:r>
        <w:rPr>
          <w:rFonts w:eastAsia="Times New Roman" w:cs="Times New Roman"/>
        </w:rPr>
        <w:t xml:space="preserve">The Rapid Response Unit will provided referrals and employee lists when possible. </w:t>
      </w:r>
      <w:bookmarkStart w:id="0" w:name="_GoBack"/>
      <w:bookmarkEnd w:id="0"/>
    </w:p>
    <w:p w:rsidR="00685C25" w:rsidRPr="00685C25" w:rsidRDefault="00685C25" w:rsidP="00685C25">
      <w:pPr>
        <w:spacing w:after="0" w:line="240" w:lineRule="auto"/>
        <w:rPr>
          <w:rFonts w:eastAsia="Times New Roman" w:cs="Times New Roman"/>
        </w:rPr>
      </w:pPr>
    </w:p>
    <w:p w:rsidR="00685C25" w:rsidRPr="00685C25" w:rsidRDefault="00685C25" w:rsidP="00685C25">
      <w:pPr>
        <w:spacing w:after="0" w:line="240" w:lineRule="auto"/>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Disclaimer</w:t>
      </w:r>
    </w:p>
    <w:p w:rsidR="00685C25" w:rsidRPr="00685C25" w:rsidRDefault="00685C25" w:rsidP="00685C25">
      <w:pPr>
        <w:spacing w:after="0" w:line="240" w:lineRule="auto"/>
        <w:jc w:val="both"/>
        <w:rPr>
          <w:rFonts w:eastAsia="Times New Roman" w:cs="Times New Roman"/>
        </w:rPr>
      </w:pPr>
      <w:r w:rsidRPr="00685C25">
        <w:rPr>
          <w:rFonts w:eastAsia="Times New Roman" w:cs="Times New Roman"/>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EA508E" w:rsidRDefault="00EA508E"/>
    <w:sectPr w:rsidR="00EA508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D1" w:rsidRDefault="00E54BD1" w:rsidP="00E54BD1">
      <w:pPr>
        <w:spacing w:after="0" w:line="240" w:lineRule="auto"/>
      </w:pPr>
      <w:r>
        <w:separator/>
      </w:r>
    </w:p>
  </w:endnote>
  <w:endnote w:type="continuationSeparator" w:id="0">
    <w:p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582AED">
              <w:rPr>
                <w:b/>
                <w:bCs/>
                <w:noProof/>
                <w:sz w:val="20"/>
                <w:szCs w:val="20"/>
              </w:rPr>
              <w:t>2</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582AED">
              <w:rPr>
                <w:b/>
                <w:bCs/>
                <w:noProof/>
                <w:sz w:val="20"/>
                <w:szCs w:val="20"/>
              </w:rPr>
              <w:t>2</w:t>
            </w:r>
            <w:r w:rsidRPr="009D2F91">
              <w:rPr>
                <w:b/>
                <w:bCs/>
                <w:sz w:val="20"/>
                <w:szCs w:val="20"/>
              </w:rPr>
              <w:fldChar w:fldCharType="end"/>
            </w:r>
          </w:p>
        </w:sdtContent>
      </w:sdt>
    </w:sdtContent>
  </w:sdt>
  <w:p w:rsidR="009D2F91" w:rsidRDefault="009D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D1" w:rsidRDefault="00E54BD1" w:rsidP="00E54BD1">
      <w:pPr>
        <w:spacing w:after="0" w:line="240" w:lineRule="auto"/>
      </w:pPr>
      <w:r>
        <w:separator/>
      </w:r>
    </w:p>
  </w:footnote>
  <w:footnote w:type="continuationSeparator" w:id="0">
    <w:p w:rsidR="00E54BD1" w:rsidRDefault="00E54BD1" w:rsidP="00E54BD1">
      <w:pPr>
        <w:spacing w:after="0" w:line="240" w:lineRule="auto"/>
      </w:pPr>
      <w:r>
        <w:continuationSeparator/>
      </w:r>
    </w:p>
  </w:footnote>
  <w:footnote w:id="1">
    <w:p w:rsidR="00685C25" w:rsidRPr="00B52A74" w:rsidRDefault="00685C25" w:rsidP="00685C25">
      <w:pPr>
        <w:pStyle w:val="FootnoteText"/>
        <w:rPr>
          <w:rFonts w:ascii="Times New Roman" w:hAnsi="Times New Roman"/>
        </w:rPr>
      </w:pPr>
      <w:r w:rsidRPr="00B52A74">
        <w:rPr>
          <w:rStyle w:val="FootnoteReference"/>
          <w:rFonts w:ascii="Times New Roman" w:hAnsi="Times New Roman"/>
        </w:rPr>
        <w:footnoteRef/>
      </w:r>
      <w:r w:rsidRPr="00B52A74">
        <w:rPr>
          <w:rFonts w:ascii="Times New Roman" w:hAnsi="Times New Roman"/>
        </w:rPr>
        <w:t xml:space="preserve"> WIOA Section 134(a)(2)(A)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D1" w:rsidRDefault="00E54BD1">
    <w:pPr>
      <w:pStyle w:val="Header"/>
    </w:pPr>
  </w:p>
  <w:p w:rsidR="00A65917" w:rsidRDefault="00A65917">
    <w:pPr>
      <w:pStyle w:val="Header"/>
    </w:pPr>
  </w:p>
  <w:p w:rsidR="00E54BD1" w:rsidRDefault="00E54BD1">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E54BD1" w:rsidRPr="00E54BD1" w:rsidRDefault="00E54BD1" w:rsidP="00E54BD1">
    <w:pPr>
      <w:pStyle w:val="Header"/>
      <w:ind w:right="-18"/>
      <w:rPr>
        <w:rFonts w:cs="Arial"/>
        <w:b/>
      </w:rPr>
    </w:pPr>
    <w:r w:rsidRPr="00E54BD1">
      <w:rPr>
        <w:rFonts w:cs="Arial"/>
        <w:b/>
      </w:rPr>
      <w:tab/>
      <w:t xml:space="preserve">                                       </w:t>
    </w:r>
  </w:p>
  <w:p w:rsidR="00685C25" w:rsidRDefault="00685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582AED"/>
    <w:rsid w:val="00685C25"/>
    <w:rsid w:val="007D6F57"/>
    <w:rsid w:val="009D2F91"/>
    <w:rsid w:val="00A65917"/>
    <w:rsid w:val="00A93C42"/>
    <w:rsid w:val="00E54BD1"/>
    <w:rsid w:val="00EA508E"/>
    <w:rsid w:val="00F5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semiHidden/>
    <w:unhideWhenUsed/>
    <w:rsid w:val="009D2F91"/>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58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RapidResponse@nebraska.gov" TargetMode="External"/><Relationship Id="rId3" Type="http://schemas.openxmlformats.org/officeDocument/2006/relationships/settings" Target="settings.xml"/><Relationship Id="rId7" Type="http://schemas.openxmlformats.org/officeDocument/2006/relationships/hyperlink" Target="mailto:ndol.greaternebraska@nebrask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6</cp:revision>
  <cp:lastPrinted>2017-01-18T20:13:00Z</cp:lastPrinted>
  <dcterms:created xsi:type="dcterms:W3CDTF">2017-01-18T19:34:00Z</dcterms:created>
  <dcterms:modified xsi:type="dcterms:W3CDTF">2017-02-14T22:10:00Z</dcterms:modified>
</cp:coreProperties>
</file>