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Pr="00E54BD1" w:rsidRDefault="008B46EA" w:rsidP="002518AA">
            <w:pPr>
              <w:pStyle w:val="Header"/>
              <w:ind w:left="-288" w:right="-282" w:firstLine="288"/>
              <w:rPr>
                <w:b/>
                <w:color w:val="000000"/>
                <w:sz w:val="40"/>
                <w:szCs w:val="40"/>
              </w:rPr>
            </w:pPr>
            <w:r>
              <w:rPr>
                <w:b/>
                <w:color w:val="000000"/>
                <w:sz w:val="40"/>
                <w:szCs w:val="40"/>
              </w:rPr>
              <w:t>Conflict of Interest</w:t>
            </w:r>
            <w:r w:rsidR="002518AA">
              <w:rPr>
                <w:b/>
                <w:color w:val="000000"/>
                <w:sz w:val="40"/>
                <w:szCs w:val="40"/>
              </w:rPr>
              <w:t xml:space="preserve"> </w:t>
            </w:r>
            <w:r w:rsidR="00942EBD">
              <w:rPr>
                <w:b/>
                <w:color w:val="000000"/>
                <w:sz w:val="40"/>
                <w:szCs w:val="40"/>
              </w:rPr>
              <w:t>Policy</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8B46EA" w:rsidP="00FF4ED8">
            <w:pPr>
              <w:rPr>
                <w:sz w:val="56"/>
                <w:szCs w:val="56"/>
              </w:rPr>
            </w:pPr>
            <w:r>
              <w:rPr>
                <w:sz w:val="56"/>
                <w:szCs w:val="56"/>
              </w:rPr>
              <w:t>9</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5311D2"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A454BA">
      <w:pPr>
        <w:spacing w:after="0" w:line="240" w:lineRule="auto"/>
        <w:jc w:val="both"/>
        <w:rPr>
          <w:rFonts w:eastAsia="Times New Roman" w:cs="Times New Roman"/>
          <w:b/>
          <w:u w:val="single"/>
        </w:rPr>
      </w:pPr>
    </w:p>
    <w:p w:rsidR="00685C25" w:rsidRPr="00685C25" w:rsidRDefault="00685C25" w:rsidP="00A454BA">
      <w:pPr>
        <w:spacing w:after="0"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750CEC" w:rsidRDefault="00D84C0C" w:rsidP="00D84C0C">
      <w:pPr>
        <w:spacing w:after="0" w:line="240" w:lineRule="auto"/>
        <w:jc w:val="both"/>
        <w:rPr>
          <w:rFonts w:eastAsia="Times New Roman" w:cs="Times New Roman"/>
          <w:b/>
          <w:u w:val="single"/>
        </w:rPr>
      </w:pPr>
      <w:r>
        <w:rPr>
          <w:sz w:val="23"/>
          <w:szCs w:val="23"/>
        </w:rPr>
        <w:t xml:space="preserve">Workforce Innovation and Opportunity Act (WIOA) Sec. 101, 102, and 107; Workforce Innovation and Opportunity Act – Notice of Proposed Rulemaking, 20 CFR §§ 679.430, 683.200, Uniform Administrative Requirements, Cost Principles, and Audit Requirements for Federal Awards Final Rule (Uniform Guidance), 2 CFR 200, Nebraska Department of Labor (NDOL) Interim Policy on Conflict of Interest </w:t>
      </w:r>
    </w:p>
    <w:p w:rsidR="00D84C0C" w:rsidRDefault="00D84C0C" w:rsidP="00A454BA">
      <w:pPr>
        <w:spacing w:after="0" w:line="240" w:lineRule="auto"/>
        <w:jc w:val="both"/>
        <w:rPr>
          <w:rFonts w:eastAsia="Times New Roman" w:cs="Times New Roman"/>
          <w:b/>
          <w:u w:val="single"/>
        </w:rPr>
      </w:pP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62314F" w:rsidRPr="00FD5C18" w:rsidRDefault="0062314F" w:rsidP="00FD5C18">
      <w:pPr>
        <w:spacing w:after="0" w:line="240" w:lineRule="auto"/>
        <w:jc w:val="both"/>
        <w:rPr>
          <w:sz w:val="23"/>
          <w:szCs w:val="23"/>
        </w:rPr>
      </w:pPr>
      <w:r>
        <w:rPr>
          <w:sz w:val="23"/>
          <w:szCs w:val="23"/>
        </w:rPr>
        <w:t>This conflict of interest policy ensures that individuals employed by or representatives of orga</w:t>
      </w:r>
      <w:r w:rsidR="00817753">
        <w:rPr>
          <w:sz w:val="23"/>
          <w:szCs w:val="23"/>
        </w:rPr>
        <w:t>nizations entrusted with WIOA Title 1</w:t>
      </w:r>
      <w:r w:rsidR="00E2377D">
        <w:rPr>
          <w:sz w:val="23"/>
          <w:szCs w:val="23"/>
        </w:rPr>
        <w:t>b</w:t>
      </w:r>
      <w:r w:rsidR="00817753">
        <w:rPr>
          <w:sz w:val="23"/>
          <w:szCs w:val="23"/>
        </w:rPr>
        <w:t xml:space="preserve"> </w:t>
      </w:r>
      <w:r>
        <w:rPr>
          <w:sz w:val="23"/>
          <w:szCs w:val="23"/>
        </w:rPr>
        <w:t xml:space="preserve">funds and their immediate family members will not personally or professionally benefit from the award or expenditure of such funds. </w:t>
      </w:r>
    </w:p>
    <w:p w:rsidR="00685C25" w:rsidRPr="00685C25" w:rsidRDefault="00685C25" w:rsidP="002518AA">
      <w:pPr>
        <w:tabs>
          <w:tab w:val="left" w:pos="3660"/>
        </w:tabs>
        <w:spacing w:after="0" w:line="240" w:lineRule="auto"/>
        <w:jc w:val="both"/>
        <w:rPr>
          <w:rFonts w:eastAsia="Times New Roman" w:cs="Times New Roman"/>
        </w:rPr>
      </w:pPr>
      <w:r w:rsidRPr="00685C25">
        <w:rPr>
          <w:rFonts w:eastAsia="Times New Roman" w:cs="Times New Roman"/>
        </w:rPr>
        <w:tab/>
      </w: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817753" w:rsidRPr="001C382A" w:rsidRDefault="001C382A" w:rsidP="00A454BA">
      <w:pPr>
        <w:spacing w:after="0" w:line="240" w:lineRule="auto"/>
        <w:jc w:val="both"/>
        <w:rPr>
          <w:sz w:val="23"/>
          <w:szCs w:val="23"/>
        </w:rPr>
      </w:pPr>
      <w:r>
        <w:rPr>
          <w:sz w:val="23"/>
          <w:szCs w:val="23"/>
        </w:rPr>
        <w:t>The regional plan requires that l</w:t>
      </w:r>
      <w:r w:rsidRPr="001C382A">
        <w:rPr>
          <w:sz w:val="23"/>
          <w:szCs w:val="23"/>
        </w:rPr>
        <w:t>ocal’s area</w:t>
      </w:r>
      <w:r>
        <w:rPr>
          <w:sz w:val="23"/>
          <w:szCs w:val="23"/>
        </w:rPr>
        <w:t>s</w:t>
      </w:r>
      <w:r w:rsidRPr="001C382A">
        <w:rPr>
          <w:sz w:val="23"/>
          <w:szCs w:val="23"/>
        </w:rPr>
        <w:t xml:space="preserve"> have a conflict of interest policy. </w:t>
      </w:r>
    </w:p>
    <w:p w:rsidR="001C382A" w:rsidRDefault="001C382A" w:rsidP="00A454BA">
      <w:pPr>
        <w:spacing w:after="0" w:line="240" w:lineRule="auto"/>
        <w:jc w:val="both"/>
        <w:rPr>
          <w:rFonts w:eastAsia="+mn-ea" w:cs="Times New Roman"/>
          <w:b/>
          <w:bCs/>
          <w:color w:val="00607F"/>
          <w:kern w:val="24"/>
          <w:sz w:val="28"/>
          <w:szCs w:val="28"/>
          <w:u w:val="single"/>
        </w:rPr>
      </w:pPr>
    </w:p>
    <w:p w:rsidR="00685C25" w:rsidRPr="009D2F91" w:rsidRDefault="00685C25" w:rsidP="00A454BA">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685C25" w:rsidRPr="00817753" w:rsidRDefault="0062314F" w:rsidP="001C382A">
      <w:pPr>
        <w:autoSpaceDE w:val="0"/>
        <w:autoSpaceDN w:val="0"/>
        <w:adjustRightInd w:val="0"/>
        <w:spacing w:after="0" w:line="240" w:lineRule="auto"/>
        <w:jc w:val="both"/>
        <w:rPr>
          <w:sz w:val="23"/>
          <w:szCs w:val="23"/>
        </w:rPr>
      </w:pPr>
      <w:r w:rsidRPr="00817753">
        <w:rPr>
          <w:sz w:val="23"/>
          <w:szCs w:val="23"/>
        </w:rPr>
        <w:t xml:space="preserve">All </w:t>
      </w:r>
      <w:r w:rsidR="00817753">
        <w:rPr>
          <w:sz w:val="23"/>
          <w:szCs w:val="23"/>
        </w:rPr>
        <w:t xml:space="preserve">staff and </w:t>
      </w:r>
      <w:r w:rsidRPr="00817753">
        <w:rPr>
          <w:sz w:val="23"/>
          <w:szCs w:val="23"/>
        </w:rPr>
        <w:t xml:space="preserve">partners at all levels of participation in the </w:t>
      </w:r>
      <w:r w:rsidR="00817753">
        <w:rPr>
          <w:sz w:val="23"/>
          <w:szCs w:val="23"/>
        </w:rPr>
        <w:t>Greater Nebraska Workforce Development Area</w:t>
      </w:r>
      <w:r w:rsidR="00817753" w:rsidRPr="00817753">
        <w:rPr>
          <w:sz w:val="23"/>
          <w:szCs w:val="23"/>
        </w:rPr>
        <w:t xml:space="preserve"> </w:t>
      </w:r>
      <w:r w:rsidR="00817753">
        <w:rPr>
          <w:sz w:val="23"/>
          <w:szCs w:val="23"/>
        </w:rPr>
        <w:t xml:space="preserve">(GNWDA) </w:t>
      </w:r>
      <w:r w:rsidR="00817753" w:rsidRPr="00817753">
        <w:rPr>
          <w:sz w:val="23"/>
          <w:szCs w:val="23"/>
        </w:rPr>
        <w:t xml:space="preserve">funded by the </w:t>
      </w:r>
      <w:r w:rsidRPr="00817753">
        <w:rPr>
          <w:sz w:val="23"/>
          <w:szCs w:val="23"/>
        </w:rPr>
        <w:t>Workforce Innovation and Opportunity Act (WIOA)</w:t>
      </w:r>
      <w:r w:rsidR="007E7B6D">
        <w:rPr>
          <w:sz w:val="23"/>
          <w:szCs w:val="23"/>
        </w:rPr>
        <w:t xml:space="preserve"> Title 1</w:t>
      </w:r>
      <w:r w:rsidR="00E2377D">
        <w:rPr>
          <w:sz w:val="23"/>
          <w:szCs w:val="23"/>
        </w:rPr>
        <w:t>b</w:t>
      </w:r>
      <w:r w:rsidRPr="00817753">
        <w:rPr>
          <w:sz w:val="23"/>
          <w:szCs w:val="23"/>
        </w:rPr>
        <w:t xml:space="preserve"> are expected to read, u</w:t>
      </w:r>
      <w:r w:rsidR="00817753" w:rsidRPr="00817753">
        <w:rPr>
          <w:sz w:val="23"/>
          <w:szCs w:val="23"/>
        </w:rPr>
        <w:t>nderstand and apply this policy</w:t>
      </w:r>
      <w:r w:rsidR="00817753">
        <w:rPr>
          <w:sz w:val="23"/>
          <w:szCs w:val="23"/>
        </w:rPr>
        <w:t xml:space="preserve"> </w:t>
      </w:r>
      <w:r w:rsidR="00817753" w:rsidRPr="00817753">
        <w:rPr>
          <w:sz w:val="23"/>
          <w:szCs w:val="23"/>
        </w:rPr>
        <w:t xml:space="preserve">to ensure system </w:t>
      </w:r>
      <w:r w:rsidRPr="00817753">
        <w:rPr>
          <w:sz w:val="23"/>
          <w:szCs w:val="23"/>
        </w:rPr>
        <w:t>integrity and effective ov</w:t>
      </w:r>
      <w:r w:rsidR="00817753">
        <w:rPr>
          <w:sz w:val="23"/>
          <w:szCs w:val="23"/>
        </w:rPr>
        <w:t>ersight of the local area</w:t>
      </w:r>
      <w:r w:rsidRPr="00817753">
        <w:rPr>
          <w:sz w:val="23"/>
          <w:szCs w:val="23"/>
        </w:rPr>
        <w:t>.</w:t>
      </w:r>
      <w:r w:rsidR="00817753">
        <w:rPr>
          <w:sz w:val="23"/>
          <w:szCs w:val="23"/>
        </w:rPr>
        <w:t xml:space="preserve"> </w:t>
      </w:r>
      <w:r w:rsidR="00E7754D" w:rsidRPr="00E7754D">
        <w:rPr>
          <w:rFonts w:cs="Times New Roman"/>
        </w:rPr>
        <w:t xml:space="preserve">Questions and comments should be submitted in writing to the Greater Nebraska WIOA Mailbox: </w:t>
      </w:r>
      <w:hyperlink r:id="rId9" w:history="1">
        <w:r w:rsidR="00E7754D" w:rsidRPr="00E7754D">
          <w:rPr>
            <w:rStyle w:val="Hyperlink"/>
            <w:rFonts w:cs="Times New Roman"/>
          </w:rPr>
          <w:t>ndol.greaternebraska@nebraska.gov</w:t>
        </w:r>
      </w:hyperlink>
      <w:r w:rsidR="00E7754D" w:rsidRPr="00E7754D">
        <w:rPr>
          <w:rFonts w:cs="Times New Roman"/>
        </w:rPr>
        <w:t xml:space="preserve">. </w:t>
      </w:r>
    </w:p>
    <w:p w:rsidR="00415013" w:rsidRDefault="00415013" w:rsidP="00A454BA">
      <w:pPr>
        <w:spacing w:after="0" w:line="240" w:lineRule="auto"/>
        <w:jc w:val="both"/>
        <w:rPr>
          <w:rFonts w:eastAsia="+mn-ea" w:cs="Times New Roman"/>
          <w:b/>
          <w:bCs/>
          <w:color w:val="00607F"/>
          <w:kern w:val="24"/>
          <w:sz w:val="28"/>
          <w:szCs w:val="28"/>
          <w:u w:val="single"/>
        </w:rPr>
      </w:pPr>
    </w:p>
    <w:p w:rsid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415013" w:rsidRDefault="00415013" w:rsidP="00A454BA">
      <w:pPr>
        <w:spacing w:after="0" w:line="240" w:lineRule="auto"/>
        <w:jc w:val="both"/>
        <w:rPr>
          <w:rFonts w:eastAsia="+mn-ea" w:cs="Times New Roman"/>
          <w:b/>
          <w:bCs/>
          <w:color w:val="00607F"/>
          <w:kern w:val="24"/>
          <w:sz w:val="28"/>
          <w:szCs w:val="28"/>
          <w:u w:val="single"/>
        </w:rPr>
      </w:pPr>
    </w:p>
    <w:p w:rsidR="0062314F" w:rsidRPr="0062314F" w:rsidRDefault="0062314F" w:rsidP="00A454BA">
      <w:pPr>
        <w:spacing w:after="0" w:line="240" w:lineRule="auto"/>
        <w:jc w:val="both"/>
        <w:rPr>
          <w:rFonts w:eastAsia="+mn-ea" w:cs="Times New Roman"/>
          <w:bCs/>
          <w:color w:val="00607F"/>
          <w:kern w:val="24"/>
          <w:sz w:val="28"/>
          <w:szCs w:val="28"/>
        </w:rPr>
      </w:pPr>
      <w:r w:rsidRPr="0062314F">
        <w:rPr>
          <w:rFonts w:eastAsia="+mn-ea" w:cs="Times New Roman"/>
          <w:bCs/>
          <w:color w:val="00607F"/>
          <w:kern w:val="24"/>
          <w:sz w:val="28"/>
          <w:szCs w:val="28"/>
        </w:rPr>
        <w:t xml:space="preserve">Workforce Coordinators </w:t>
      </w:r>
    </w:p>
    <w:p w:rsidR="0062314F" w:rsidRDefault="0062314F" w:rsidP="0062314F">
      <w:pPr>
        <w:spacing w:after="0" w:line="240" w:lineRule="auto"/>
        <w:jc w:val="both"/>
        <w:rPr>
          <w:rFonts w:eastAsia="+mn-ea" w:cs="Times New Roman"/>
          <w:b/>
          <w:bCs/>
          <w:color w:val="00607F"/>
          <w:kern w:val="24"/>
          <w:sz w:val="28"/>
          <w:szCs w:val="28"/>
          <w:u w:val="single"/>
        </w:rPr>
      </w:pPr>
      <w:r>
        <w:rPr>
          <w:sz w:val="23"/>
          <w:szCs w:val="23"/>
        </w:rPr>
        <w:t>Workforce coordinators</w:t>
      </w:r>
      <w:r w:rsidR="007E7B6D">
        <w:rPr>
          <w:sz w:val="23"/>
          <w:szCs w:val="23"/>
        </w:rPr>
        <w:t xml:space="preserve"> </w:t>
      </w:r>
      <w:r>
        <w:rPr>
          <w:sz w:val="23"/>
          <w:szCs w:val="23"/>
        </w:rPr>
        <w:t xml:space="preserve">cannot enroll, </w:t>
      </w:r>
      <w:r w:rsidR="00194FE1" w:rsidRPr="005311D2">
        <w:rPr>
          <w:sz w:val="23"/>
          <w:szCs w:val="23"/>
        </w:rPr>
        <w:t>provide career planning services</w:t>
      </w:r>
      <w:r w:rsidRPr="005311D2">
        <w:rPr>
          <w:sz w:val="23"/>
          <w:szCs w:val="23"/>
        </w:rPr>
        <w:t>, or otherwise</w:t>
      </w:r>
      <w:r>
        <w:rPr>
          <w:sz w:val="23"/>
          <w:szCs w:val="23"/>
        </w:rPr>
        <w:t xml:space="preserve"> directly work with family members as participants, applicants, or registrants. When a </w:t>
      </w:r>
      <w:r w:rsidR="00415013">
        <w:rPr>
          <w:sz w:val="23"/>
          <w:szCs w:val="23"/>
        </w:rPr>
        <w:t xml:space="preserve">family member of a workforce coordinator </w:t>
      </w:r>
      <w:r>
        <w:rPr>
          <w:sz w:val="23"/>
          <w:szCs w:val="23"/>
        </w:rPr>
        <w:t>is in need of services, that person must be assigned to a different workforce coordinator in order to avoid a real or apparent conflict of interest.</w:t>
      </w:r>
      <w:r>
        <w:rPr>
          <w:rStyle w:val="FootnoteReference"/>
          <w:rFonts w:eastAsia="+mn-ea" w:cs="Times New Roman"/>
          <w:b/>
          <w:bCs/>
          <w:color w:val="00607F"/>
          <w:kern w:val="24"/>
          <w:sz w:val="28"/>
          <w:szCs w:val="28"/>
          <w:u w:val="single"/>
        </w:rPr>
        <w:footnoteReference w:id="1"/>
      </w:r>
    </w:p>
    <w:p w:rsidR="0062314F" w:rsidRDefault="0062314F" w:rsidP="00A454BA">
      <w:pPr>
        <w:spacing w:after="0" w:line="240" w:lineRule="auto"/>
        <w:jc w:val="both"/>
        <w:rPr>
          <w:rFonts w:eastAsia="+mn-ea" w:cs="Times New Roman"/>
          <w:b/>
          <w:bCs/>
          <w:color w:val="00607F"/>
          <w:kern w:val="24"/>
          <w:sz w:val="28"/>
          <w:szCs w:val="28"/>
          <w:u w:val="single"/>
        </w:rPr>
      </w:pPr>
    </w:p>
    <w:p w:rsidR="00B37460" w:rsidRPr="00B37460" w:rsidRDefault="00B37460" w:rsidP="00A454BA">
      <w:pPr>
        <w:spacing w:after="0" w:line="240" w:lineRule="auto"/>
        <w:jc w:val="both"/>
        <w:rPr>
          <w:rFonts w:eastAsia="+mn-ea" w:cs="Times New Roman"/>
          <w:bCs/>
          <w:color w:val="00607F"/>
          <w:kern w:val="24"/>
          <w:sz w:val="28"/>
          <w:szCs w:val="28"/>
        </w:rPr>
      </w:pPr>
      <w:r w:rsidRPr="00B37460">
        <w:rPr>
          <w:rFonts w:eastAsia="+mn-ea" w:cs="Times New Roman"/>
          <w:bCs/>
          <w:color w:val="00607F"/>
          <w:kern w:val="24"/>
          <w:sz w:val="28"/>
          <w:szCs w:val="28"/>
        </w:rPr>
        <w:t>Managers &amp; Administrative Entity Staff</w:t>
      </w:r>
    </w:p>
    <w:p w:rsidR="00B37460" w:rsidRDefault="00E2377D" w:rsidP="00A454BA">
      <w:pPr>
        <w:spacing w:after="0" w:line="240" w:lineRule="auto"/>
        <w:jc w:val="both"/>
        <w:rPr>
          <w:sz w:val="23"/>
          <w:szCs w:val="23"/>
        </w:rPr>
      </w:pPr>
      <w:r>
        <w:rPr>
          <w:sz w:val="23"/>
          <w:szCs w:val="23"/>
        </w:rPr>
        <w:t xml:space="preserve">Managers and administrative entity staff must report any real or apparent conflicts of interest to their supervisor. </w:t>
      </w:r>
    </w:p>
    <w:p w:rsidR="00B37460" w:rsidRDefault="00B37460" w:rsidP="00A454BA">
      <w:pPr>
        <w:spacing w:after="0" w:line="240" w:lineRule="auto"/>
        <w:jc w:val="both"/>
        <w:rPr>
          <w:rFonts w:eastAsia="+mn-ea" w:cs="Times New Roman"/>
          <w:b/>
          <w:bCs/>
          <w:color w:val="00607F"/>
          <w:kern w:val="24"/>
          <w:sz w:val="28"/>
          <w:szCs w:val="28"/>
          <w:u w:val="single"/>
        </w:rPr>
      </w:pPr>
    </w:p>
    <w:p w:rsidR="0062314F" w:rsidRPr="0062314F" w:rsidRDefault="0062314F" w:rsidP="00A454BA">
      <w:pPr>
        <w:spacing w:after="0" w:line="240" w:lineRule="auto"/>
        <w:jc w:val="both"/>
        <w:rPr>
          <w:rFonts w:eastAsia="+mn-ea" w:cs="Times New Roman"/>
          <w:bCs/>
          <w:color w:val="00607F"/>
          <w:kern w:val="24"/>
          <w:sz w:val="28"/>
          <w:szCs w:val="28"/>
        </w:rPr>
      </w:pPr>
      <w:r w:rsidRPr="0062314F">
        <w:rPr>
          <w:rFonts w:eastAsia="+mn-ea" w:cs="Times New Roman"/>
          <w:bCs/>
          <w:color w:val="00607F"/>
          <w:kern w:val="24"/>
          <w:sz w:val="28"/>
          <w:szCs w:val="28"/>
        </w:rPr>
        <w:t xml:space="preserve">Workforce Board &amp; Chief Elected Officials Board </w:t>
      </w:r>
    </w:p>
    <w:p w:rsidR="008B46EA" w:rsidRDefault="008B46EA" w:rsidP="0062314F">
      <w:pPr>
        <w:spacing w:after="0"/>
        <w:jc w:val="both"/>
        <w:rPr>
          <w:rFonts w:cs="Times New Roman"/>
        </w:rPr>
      </w:pPr>
      <w:r w:rsidRPr="0062314F">
        <w:rPr>
          <w:rFonts w:cs="Times New Roman"/>
        </w:rPr>
        <w:t xml:space="preserve">All members shall comply with the provisions of §§49-1499 through 49-14,103.03 Nebraska Revised Statutes. </w:t>
      </w:r>
    </w:p>
    <w:p w:rsidR="0062314F" w:rsidRPr="0062314F" w:rsidRDefault="0062314F" w:rsidP="0062314F">
      <w:pPr>
        <w:spacing w:after="0"/>
        <w:jc w:val="both"/>
        <w:rPr>
          <w:rFonts w:cs="Times New Roman"/>
        </w:rPr>
      </w:pPr>
    </w:p>
    <w:p w:rsidR="008B46EA" w:rsidRDefault="0062314F" w:rsidP="0062314F">
      <w:pPr>
        <w:spacing w:after="0"/>
        <w:jc w:val="both"/>
        <w:rPr>
          <w:rFonts w:cs="Times New Roman"/>
        </w:rPr>
      </w:pPr>
      <w:r>
        <w:rPr>
          <w:rFonts w:cs="Times New Roman"/>
        </w:rPr>
        <w:t xml:space="preserve">No </w:t>
      </w:r>
      <w:r w:rsidR="008B46EA" w:rsidRPr="0062314F">
        <w:rPr>
          <w:rFonts w:cs="Times New Roman"/>
        </w:rPr>
        <w:t>member may receive anything of value as a result of a benefit conferred by the GNWDB</w:t>
      </w:r>
      <w:r w:rsidR="007E7B6D">
        <w:rPr>
          <w:rFonts w:cs="Times New Roman"/>
        </w:rPr>
        <w:t>/CEOB</w:t>
      </w:r>
      <w:r w:rsidR="008B46EA" w:rsidRPr="0062314F">
        <w:rPr>
          <w:rFonts w:cs="Times New Roman"/>
        </w:rPr>
        <w:t xml:space="preserve"> upon any person, business or organization.</w:t>
      </w:r>
    </w:p>
    <w:p w:rsidR="0062314F" w:rsidRPr="0062314F" w:rsidRDefault="0062314F" w:rsidP="0062314F">
      <w:pPr>
        <w:spacing w:after="0"/>
        <w:jc w:val="both"/>
        <w:rPr>
          <w:rFonts w:cs="Times New Roman"/>
        </w:rPr>
      </w:pPr>
    </w:p>
    <w:p w:rsidR="008B46EA" w:rsidRDefault="008B46EA" w:rsidP="0062314F">
      <w:pPr>
        <w:spacing w:after="0"/>
        <w:jc w:val="both"/>
        <w:rPr>
          <w:rFonts w:cs="Times New Roman"/>
        </w:rPr>
      </w:pPr>
      <w:r w:rsidRPr="0062314F">
        <w:rPr>
          <w:rFonts w:cs="Times New Roman"/>
        </w:rPr>
        <w:t>A Local Board member must disclose with particularity the nature and extent of any financial interest in or affiliation with any person, business or organization that is seeking anything of value from the GNWDB</w:t>
      </w:r>
      <w:r w:rsidR="007E7B6D">
        <w:rPr>
          <w:rFonts w:cs="Times New Roman"/>
        </w:rPr>
        <w:t>/CEOB</w:t>
      </w:r>
      <w:r w:rsidRPr="0062314F">
        <w:rPr>
          <w:rFonts w:cs="Times New Roman"/>
        </w:rPr>
        <w:t xml:space="preserve"> prior to consideration of the request by the Local Board. A disclosure period will be provided to the members.  </w:t>
      </w:r>
    </w:p>
    <w:p w:rsidR="0062314F" w:rsidRPr="0062314F" w:rsidRDefault="0062314F" w:rsidP="0062314F">
      <w:pPr>
        <w:spacing w:after="0"/>
        <w:jc w:val="both"/>
        <w:rPr>
          <w:rFonts w:cs="Times New Roman"/>
        </w:rPr>
      </w:pPr>
    </w:p>
    <w:p w:rsidR="008B46EA" w:rsidRPr="0062314F" w:rsidRDefault="008B46EA" w:rsidP="0062314F">
      <w:pPr>
        <w:spacing w:after="0"/>
        <w:jc w:val="both"/>
        <w:rPr>
          <w:rFonts w:cs="Times New Roman"/>
          <w:lang w:val="en"/>
        </w:rPr>
      </w:pPr>
      <w:r w:rsidRPr="0062314F">
        <w:rPr>
          <w:rFonts w:cs="Times New Roman"/>
        </w:rPr>
        <w:t xml:space="preserve">When a potential conflict exists, the Local Board Member must </w:t>
      </w:r>
      <w:r w:rsidRPr="0062314F">
        <w:rPr>
          <w:rFonts w:cs="Times New Roman"/>
          <w:lang w:val="en"/>
        </w:rPr>
        <w:t xml:space="preserve"> prepare a written statement describing the matter requiring action or decision and the nature of the potential conflict, and if he or she will not abstain from voting, deliberating, or taking other action on the matter, the statement shall state why, despite the potential conflict, he or she intends to vote or otherwise participate; and deliver a copy of the statement to the Board Chair, who shall cause the statement to be filed as a matter of public record.</w:t>
      </w:r>
    </w:p>
    <w:p w:rsidR="0062314F" w:rsidRDefault="0062314F" w:rsidP="0062314F">
      <w:pPr>
        <w:spacing w:after="0"/>
        <w:jc w:val="both"/>
        <w:rPr>
          <w:rFonts w:cs="Times New Roman"/>
        </w:rPr>
      </w:pPr>
    </w:p>
    <w:p w:rsidR="008B46EA" w:rsidRPr="0062314F" w:rsidRDefault="008B46EA" w:rsidP="0062314F">
      <w:pPr>
        <w:spacing w:after="0"/>
        <w:jc w:val="both"/>
        <w:rPr>
          <w:rFonts w:cs="Times New Roman"/>
        </w:rPr>
      </w:pPr>
      <w:r w:rsidRPr="0062314F">
        <w:rPr>
          <w:rFonts w:cs="Times New Roman"/>
        </w:rPr>
        <w:t>No member shall vote on a question in which he or she has a direct or indirect personal or pecuniary interest not common to other members of the GNWDB</w:t>
      </w:r>
      <w:r w:rsidR="0062314F">
        <w:rPr>
          <w:rFonts w:cs="Times New Roman"/>
        </w:rPr>
        <w:t>/CEOB</w:t>
      </w:r>
      <w:r w:rsidRPr="0062314F">
        <w:rPr>
          <w:rFonts w:cs="Times New Roman"/>
        </w:rPr>
        <w:t xml:space="preserve">. </w:t>
      </w:r>
      <w:r w:rsidR="007E7B6D">
        <w:rPr>
          <w:rFonts w:cs="Times New Roman"/>
          <w:lang w:val="en"/>
        </w:rPr>
        <w:t xml:space="preserve">The member of the </w:t>
      </w:r>
      <w:r w:rsidR="007E7B6D" w:rsidRPr="0062314F">
        <w:rPr>
          <w:rFonts w:cs="Times New Roman"/>
          <w:lang w:val="en"/>
        </w:rPr>
        <w:t>Board</w:t>
      </w:r>
      <w:r w:rsidRPr="0062314F">
        <w:rPr>
          <w:rFonts w:cs="Times New Roman"/>
          <w:lang w:val="en"/>
        </w:rPr>
        <w:t xml:space="preserve"> may abstain from voting, deliberating, or taking other action on the matter on which the potential conflict exists.</w:t>
      </w:r>
      <w:r w:rsidRPr="0062314F">
        <w:rPr>
          <w:rFonts w:cs="Times New Roman"/>
        </w:rPr>
        <w:t xml:space="preserve"> The minutes of the meeting shall record compliance with this requirement. The interested member may briefly state his or her position regarding the subject or may answer questions of other members, since his or her knowledge may be of assistance. </w:t>
      </w:r>
      <w:r>
        <w:rPr>
          <w:rStyle w:val="FootnoteReference"/>
          <w:rFonts w:cs="Times New Roman"/>
        </w:rPr>
        <w:footnoteReference w:id="2"/>
      </w:r>
    </w:p>
    <w:p w:rsidR="001E5A01" w:rsidRDefault="001E5A01" w:rsidP="00A454BA">
      <w:pPr>
        <w:spacing w:after="0" w:line="240" w:lineRule="auto"/>
        <w:jc w:val="both"/>
        <w:rPr>
          <w:rFonts w:eastAsia="+mn-ea" w:cs="Times New Roman"/>
          <w:bCs/>
          <w:color w:val="00607F"/>
          <w:kern w:val="24"/>
          <w:sz w:val="28"/>
          <w:szCs w:val="28"/>
        </w:rPr>
      </w:pPr>
    </w:p>
    <w:p w:rsidR="007E7B6D" w:rsidRDefault="00A07587" w:rsidP="00A454BA">
      <w:pPr>
        <w:spacing w:after="0" w:line="240" w:lineRule="auto"/>
        <w:jc w:val="both"/>
        <w:rPr>
          <w:rFonts w:eastAsia="+mn-ea" w:cs="Times New Roman"/>
          <w:bCs/>
          <w:color w:val="00607F"/>
          <w:kern w:val="24"/>
          <w:sz w:val="28"/>
          <w:szCs w:val="28"/>
        </w:rPr>
      </w:pPr>
      <w:r w:rsidRPr="00A07587">
        <w:rPr>
          <w:rFonts w:eastAsia="+mn-ea" w:cs="Times New Roman"/>
          <w:bCs/>
          <w:color w:val="00607F"/>
          <w:kern w:val="24"/>
          <w:sz w:val="28"/>
          <w:szCs w:val="28"/>
        </w:rPr>
        <w:t>Entities Performing Multiple Functions</w:t>
      </w:r>
    </w:p>
    <w:p w:rsidR="007E7B6D" w:rsidRDefault="00A07587" w:rsidP="00A454BA">
      <w:pPr>
        <w:spacing w:after="0" w:line="240" w:lineRule="auto"/>
        <w:jc w:val="both"/>
        <w:rPr>
          <w:rFonts w:cs="Times New Roman"/>
        </w:rPr>
      </w:pPr>
      <w:r w:rsidRPr="00A07587">
        <w:rPr>
          <w:rFonts w:cs="Times New Roman"/>
        </w:rPr>
        <w:t xml:space="preserve">The Nebraska Department of Labor </w:t>
      </w:r>
      <w:r w:rsidR="002927C8">
        <w:rPr>
          <w:rFonts w:cs="Times New Roman"/>
        </w:rPr>
        <w:t>functions simultaneously in a variety of roles, including One-Stop operator, service provider for adult, dislocated worker, and youth programs, administrative entity, and as the governing body for State WIOA policy.</w:t>
      </w:r>
    </w:p>
    <w:p w:rsidR="002927C8" w:rsidRDefault="002927C8" w:rsidP="00A454BA">
      <w:pPr>
        <w:spacing w:after="0" w:line="240" w:lineRule="auto"/>
        <w:jc w:val="both"/>
        <w:rPr>
          <w:rFonts w:cs="Times New Roman"/>
        </w:rPr>
      </w:pPr>
    </w:p>
    <w:p w:rsidR="00415013" w:rsidRPr="00817CD6" w:rsidRDefault="002927C8" w:rsidP="00A454BA">
      <w:pPr>
        <w:spacing w:after="0" w:line="240" w:lineRule="auto"/>
        <w:jc w:val="both"/>
        <w:rPr>
          <w:rFonts w:cs="Times New Roman"/>
        </w:rPr>
      </w:pPr>
      <w:r>
        <w:rPr>
          <w:rFonts w:cs="Times New Roman"/>
        </w:rPr>
        <w:t xml:space="preserve">Steps have been taken, when possible to, silo these roles. </w:t>
      </w:r>
      <w:r w:rsidR="00817CD6">
        <w:rPr>
          <w:rFonts w:cs="Times New Roman"/>
        </w:rPr>
        <w:t xml:space="preserve">The Office of Employment and Training </w:t>
      </w:r>
      <w:r w:rsidR="00033DCB">
        <w:rPr>
          <w:rFonts w:cs="Times New Roman"/>
        </w:rPr>
        <w:t xml:space="preserve">(E&amp;T) </w:t>
      </w:r>
      <w:r w:rsidR="00817CD6">
        <w:rPr>
          <w:rFonts w:cs="Times New Roman"/>
        </w:rPr>
        <w:t xml:space="preserve">is divided into three branches; </w:t>
      </w:r>
      <w:r>
        <w:rPr>
          <w:rFonts w:cs="Times New Roman"/>
        </w:rPr>
        <w:t>Progr</w:t>
      </w:r>
      <w:r w:rsidR="00817CD6">
        <w:rPr>
          <w:rFonts w:cs="Times New Roman"/>
        </w:rPr>
        <w:t xml:space="preserve">am Support/Quality Assurance, Operations/Service Delivery, and Policy/Technology. Each branch has its own administrator </w:t>
      </w:r>
      <w:r w:rsidR="00033DCB">
        <w:rPr>
          <w:rFonts w:cs="Times New Roman"/>
        </w:rPr>
        <w:t xml:space="preserve">and acts independently to a great extent. All administrators report </w:t>
      </w:r>
      <w:r w:rsidR="00817CD6">
        <w:rPr>
          <w:rFonts w:cs="Times New Roman"/>
        </w:rPr>
        <w:t>to the Director</w:t>
      </w:r>
      <w:r w:rsidR="00033DCB">
        <w:rPr>
          <w:rFonts w:cs="Times New Roman"/>
        </w:rPr>
        <w:t xml:space="preserve"> of E&amp;T</w:t>
      </w:r>
      <w:r w:rsidR="00817CD6">
        <w:rPr>
          <w:rFonts w:cs="Times New Roman"/>
        </w:rPr>
        <w:t xml:space="preserve">. Program Support/Quality Assurance provides administrative entity services, Operations/Service Delivery delivers One-Stop operator and WIOA Title 1 programs (adult, DLW, &amp; youth), and Policy/Technology is responsible for State WIOA Title 1 policy. </w:t>
      </w:r>
      <w:bookmarkStart w:id="0" w:name="_GoBack"/>
      <w:bookmarkEnd w:id="0"/>
    </w:p>
    <w:p w:rsidR="007E7B6D" w:rsidRDefault="007E7B6D" w:rsidP="00A454BA">
      <w:pPr>
        <w:spacing w:after="0" w:line="240" w:lineRule="auto"/>
        <w:jc w:val="both"/>
        <w:rPr>
          <w:rFonts w:eastAsia="+mn-ea" w:cs="Times New Roman"/>
          <w:bCs/>
          <w:color w:val="00607F"/>
          <w:kern w:val="24"/>
          <w:sz w:val="28"/>
          <w:szCs w:val="28"/>
        </w:rPr>
      </w:pPr>
    </w:p>
    <w:p w:rsidR="00817CD6" w:rsidRDefault="00817CD6" w:rsidP="00A454BA">
      <w:pPr>
        <w:spacing w:after="0" w:line="240" w:lineRule="auto"/>
        <w:jc w:val="both"/>
        <w:rPr>
          <w:rFonts w:eastAsia="+mn-ea" w:cs="Times New Roman"/>
          <w:bCs/>
          <w:color w:val="00607F"/>
          <w:kern w:val="24"/>
          <w:sz w:val="28"/>
          <w:szCs w:val="28"/>
        </w:rPr>
      </w:pPr>
      <w:r>
        <w:rPr>
          <w:rFonts w:eastAsia="+mn-ea" w:cs="Times New Roman"/>
          <w:bCs/>
          <w:color w:val="00607F"/>
          <w:kern w:val="24"/>
          <w:sz w:val="28"/>
          <w:szCs w:val="28"/>
        </w:rPr>
        <w:t xml:space="preserve">Procurement Process </w:t>
      </w:r>
    </w:p>
    <w:p w:rsidR="00817CD6" w:rsidRDefault="00817CD6" w:rsidP="00A454BA">
      <w:pPr>
        <w:spacing w:after="0" w:line="240" w:lineRule="auto"/>
        <w:jc w:val="both"/>
        <w:rPr>
          <w:rFonts w:eastAsia="+mn-ea" w:cs="Times New Roman"/>
          <w:bCs/>
          <w:color w:val="00607F"/>
          <w:kern w:val="24"/>
          <w:sz w:val="28"/>
          <w:szCs w:val="28"/>
        </w:rPr>
      </w:pPr>
      <w:r w:rsidRPr="00033DCB">
        <w:rPr>
          <w:rFonts w:cs="Times New Roman"/>
        </w:rPr>
        <w:t xml:space="preserve">The local area </w:t>
      </w:r>
      <w:r w:rsidR="00660722">
        <w:rPr>
          <w:rFonts w:cs="Times New Roman"/>
        </w:rPr>
        <w:t>follows the procurements policies and procedures of the Nebraska Department of Administrative Service</w:t>
      </w:r>
      <w:r w:rsidR="00726911">
        <w:rPr>
          <w:rFonts w:cs="Times New Roman"/>
        </w:rPr>
        <w:t xml:space="preserve">s. </w:t>
      </w:r>
      <w:r w:rsidR="00726911">
        <w:rPr>
          <w:sz w:val="23"/>
          <w:szCs w:val="23"/>
        </w:rPr>
        <w:t>No employee, officer, or agent may participate in the selection, award, or administration of a contract supported by a federal award if he or she has a real or apparent conflict of interest.</w:t>
      </w:r>
      <w:r w:rsidR="00726911" w:rsidRPr="00726911">
        <w:rPr>
          <w:rFonts w:ascii="Arial" w:hAnsi="Arial" w:cs="Arial"/>
          <w:color w:val="000000"/>
          <w:sz w:val="23"/>
          <w:szCs w:val="23"/>
        </w:rPr>
        <w:t xml:space="preserve"> </w:t>
      </w:r>
      <w:r w:rsidR="00726911" w:rsidRPr="00726911">
        <w:rPr>
          <w:sz w:val="23"/>
          <w:szCs w:val="23"/>
        </w:rPr>
        <w:t xml:space="preserve">Such a conflict of interest would arise when the employee, officer, or agent, any member of </w:t>
      </w:r>
      <w:r w:rsidR="00726911" w:rsidRPr="00726911">
        <w:rPr>
          <w:sz w:val="23"/>
          <w:szCs w:val="23"/>
        </w:rPr>
        <w:lastRenderedPageBreak/>
        <w:t xml:space="preserve">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grant recipient and subrecipient may neither solicit nor accept gratuities, favors, or anything of monetary value from contractors or parties to subcontracts. </w:t>
      </w:r>
      <w:r w:rsidR="00726911">
        <w:rPr>
          <w:rStyle w:val="FootnoteReference"/>
          <w:rFonts w:eastAsia="+mn-ea" w:cs="Times New Roman"/>
          <w:bCs/>
          <w:color w:val="00607F"/>
          <w:kern w:val="24"/>
          <w:sz w:val="28"/>
          <w:szCs w:val="28"/>
        </w:rPr>
        <w:footnoteReference w:id="3"/>
      </w:r>
    </w:p>
    <w:p w:rsidR="00817CD6" w:rsidRPr="001E5A01" w:rsidRDefault="00817CD6" w:rsidP="00A454BA">
      <w:pPr>
        <w:spacing w:after="0" w:line="240" w:lineRule="auto"/>
        <w:jc w:val="both"/>
        <w:rPr>
          <w:rFonts w:eastAsia="+mn-ea" w:cs="Times New Roman"/>
          <w:bCs/>
          <w:color w:val="00607F"/>
          <w:kern w:val="24"/>
          <w:sz w:val="28"/>
          <w:szCs w:val="28"/>
        </w:rPr>
      </w:pP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A454BA">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5311D2">
              <w:rPr>
                <w:b/>
                <w:bCs/>
                <w:noProof/>
                <w:sz w:val="20"/>
                <w:szCs w:val="20"/>
              </w:rPr>
              <w:t>3</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5311D2">
              <w:rPr>
                <w:b/>
                <w:bCs/>
                <w:noProof/>
                <w:sz w:val="20"/>
                <w:szCs w:val="20"/>
              </w:rPr>
              <w:t>3</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62314F" w:rsidRPr="0062314F" w:rsidRDefault="0062314F" w:rsidP="0062314F">
      <w:pPr>
        <w:pStyle w:val="Default"/>
        <w:rPr>
          <w:rFonts w:ascii="Times New Roman" w:eastAsia="Times New Roman" w:hAnsi="Times New Roman" w:cs="Times New Roman"/>
          <w:color w:val="auto"/>
          <w:sz w:val="22"/>
          <w:szCs w:val="22"/>
        </w:rPr>
      </w:pPr>
      <w:r>
        <w:rPr>
          <w:rStyle w:val="FootnoteReference"/>
        </w:rPr>
        <w:footnoteRef/>
      </w:r>
      <w:r>
        <w:t xml:space="preserve"> </w:t>
      </w:r>
      <w:r w:rsidRPr="0062314F">
        <w:rPr>
          <w:rFonts w:ascii="Times New Roman" w:eastAsia="Times New Roman" w:hAnsi="Times New Roman" w:cs="Times New Roman"/>
          <w:color w:val="auto"/>
          <w:sz w:val="22"/>
          <w:szCs w:val="22"/>
        </w:rPr>
        <w:t>NDOL Interim Policy on Conflict of Interest</w:t>
      </w:r>
    </w:p>
  </w:footnote>
  <w:footnote w:id="2">
    <w:p w:rsidR="008B46EA" w:rsidRDefault="008B46EA">
      <w:pPr>
        <w:pStyle w:val="FootnoteText"/>
      </w:pPr>
      <w:r w:rsidRPr="0062314F">
        <w:rPr>
          <w:rFonts w:ascii="Times New Roman" w:hAnsi="Times New Roman"/>
          <w:sz w:val="22"/>
          <w:szCs w:val="22"/>
        </w:rPr>
        <w:footnoteRef/>
      </w:r>
      <w:r w:rsidRPr="0062314F">
        <w:rPr>
          <w:rFonts w:ascii="Times New Roman" w:hAnsi="Times New Roman"/>
          <w:sz w:val="22"/>
          <w:szCs w:val="22"/>
        </w:rPr>
        <w:t xml:space="preserve"> Attachment 5. GNWDB Bylaws</w:t>
      </w:r>
      <w:r>
        <w:t xml:space="preserve"> </w:t>
      </w:r>
    </w:p>
  </w:footnote>
  <w:footnote w:id="3">
    <w:p w:rsidR="00726911" w:rsidRDefault="00726911">
      <w:pPr>
        <w:pStyle w:val="FootnoteText"/>
      </w:pPr>
      <w:r>
        <w:rPr>
          <w:rStyle w:val="FootnoteReference"/>
        </w:rPr>
        <w:footnoteRef/>
      </w:r>
      <w:r>
        <w:t xml:space="preserve"> 2 CFR § 200.318(c)(1)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1DBB"/>
    <w:multiLevelType w:val="hybridMultilevel"/>
    <w:tmpl w:val="94B44B1C"/>
    <w:lvl w:ilvl="0" w:tplc="1A78E4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9"/>
  </w:num>
  <w:num w:numId="4">
    <w:abstractNumId w:val="6"/>
  </w:num>
  <w:num w:numId="5">
    <w:abstractNumId w:val="7"/>
  </w:num>
  <w:num w:numId="6">
    <w:abstractNumId w:val="1"/>
  </w:num>
  <w:num w:numId="7">
    <w:abstractNumId w:val="11"/>
  </w:num>
  <w:num w:numId="8">
    <w:abstractNumId w:val="3"/>
  </w:num>
  <w:num w:numId="9">
    <w:abstractNumId w:val="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33DCB"/>
    <w:rsid w:val="001657D1"/>
    <w:rsid w:val="001812AD"/>
    <w:rsid w:val="00194FE1"/>
    <w:rsid w:val="001C382A"/>
    <w:rsid w:val="001E5A01"/>
    <w:rsid w:val="002518AA"/>
    <w:rsid w:val="00266C78"/>
    <w:rsid w:val="00271DC0"/>
    <w:rsid w:val="00275BFF"/>
    <w:rsid w:val="002851A4"/>
    <w:rsid w:val="002927C8"/>
    <w:rsid w:val="002B7A4D"/>
    <w:rsid w:val="0039572C"/>
    <w:rsid w:val="003B7519"/>
    <w:rsid w:val="00415013"/>
    <w:rsid w:val="004E704B"/>
    <w:rsid w:val="005311D2"/>
    <w:rsid w:val="005B0793"/>
    <w:rsid w:val="0062314F"/>
    <w:rsid w:val="00660722"/>
    <w:rsid w:val="00685C25"/>
    <w:rsid w:val="006F2509"/>
    <w:rsid w:val="00726911"/>
    <w:rsid w:val="0073736B"/>
    <w:rsid w:val="00750CEC"/>
    <w:rsid w:val="007D6F57"/>
    <w:rsid w:val="007E7B6D"/>
    <w:rsid w:val="00817753"/>
    <w:rsid w:val="00817949"/>
    <w:rsid w:val="00817CD6"/>
    <w:rsid w:val="008A20EC"/>
    <w:rsid w:val="008B46EA"/>
    <w:rsid w:val="008D74D6"/>
    <w:rsid w:val="00942EBD"/>
    <w:rsid w:val="009D2F91"/>
    <w:rsid w:val="009E5E0D"/>
    <w:rsid w:val="00A07587"/>
    <w:rsid w:val="00A24959"/>
    <w:rsid w:val="00A454BA"/>
    <w:rsid w:val="00A65917"/>
    <w:rsid w:val="00A93C42"/>
    <w:rsid w:val="00B34E0F"/>
    <w:rsid w:val="00B37460"/>
    <w:rsid w:val="00BD7645"/>
    <w:rsid w:val="00BE7F01"/>
    <w:rsid w:val="00C06578"/>
    <w:rsid w:val="00C55F97"/>
    <w:rsid w:val="00C66F5B"/>
    <w:rsid w:val="00D163C9"/>
    <w:rsid w:val="00D817BD"/>
    <w:rsid w:val="00D84C0C"/>
    <w:rsid w:val="00D91D3D"/>
    <w:rsid w:val="00DA155F"/>
    <w:rsid w:val="00E2377D"/>
    <w:rsid w:val="00E54BD1"/>
    <w:rsid w:val="00E7754D"/>
    <w:rsid w:val="00EA508E"/>
    <w:rsid w:val="00F528B1"/>
    <w:rsid w:val="00F6054E"/>
    <w:rsid w:val="00FD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ol.greaternebraska@nebrask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580D-FF46-4155-8E29-4169FB65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10</cp:revision>
  <cp:lastPrinted>2017-01-19T13:26:00Z</cp:lastPrinted>
  <dcterms:created xsi:type="dcterms:W3CDTF">2017-01-24T18:09:00Z</dcterms:created>
  <dcterms:modified xsi:type="dcterms:W3CDTF">2017-06-28T14:56:00Z</dcterms:modified>
</cp:coreProperties>
</file>