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5935"/>
        <w:gridCol w:w="1620"/>
        <w:gridCol w:w="1795"/>
      </w:tblGrid>
      <w:tr w:rsidR="00685C25" w:rsidTr="00FF4ED8">
        <w:tc>
          <w:tcPr>
            <w:tcW w:w="5935" w:type="dxa"/>
          </w:tcPr>
          <w:p w:rsidR="00942EBD" w:rsidRDefault="00942EBD" w:rsidP="00942EBD">
            <w:pPr>
              <w:pStyle w:val="Header"/>
              <w:ind w:left="-288" w:right="-282" w:firstLine="288"/>
              <w:rPr>
                <w:b/>
                <w:color w:val="000000"/>
                <w:sz w:val="40"/>
                <w:szCs w:val="40"/>
              </w:rPr>
            </w:pPr>
            <w:r>
              <w:rPr>
                <w:b/>
                <w:color w:val="000000"/>
                <w:sz w:val="40"/>
                <w:szCs w:val="40"/>
              </w:rPr>
              <w:t>Administrative Cost Limitations</w:t>
            </w:r>
          </w:p>
          <w:p w:rsidR="00685C25" w:rsidRPr="00E54BD1" w:rsidRDefault="00942EBD" w:rsidP="00942EBD">
            <w:pPr>
              <w:pStyle w:val="Header"/>
              <w:ind w:left="-288" w:right="-282" w:firstLine="288"/>
              <w:rPr>
                <w:b/>
                <w:color w:val="000000"/>
                <w:sz w:val="40"/>
                <w:szCs w:val="40"/>
              </w:rPr>
            </w:pPr>
            <w:r>
              <w:rPr>
                <w:b/>
                <w:color w:val="000000"/>
                <w:sz w:val="40"/>
                <w:szCs w:val="40"/>
              </w:rPr>
              <w:t>Policy</w:t>
            </w:r>
          </w:p>
          <w:p w:rsidR="00685C25" w:rsidRDefault="00685C25" w:rsidP="00FF4ED8"/>
        </w:tc>
        <w:tc>
          <w:tcPr>
            <w:tcW w:w="1620" w:type="dxa"/>
          </w:tcPr>
          <w:p w:rsidR="00685C25" w:rsidRDefault="00685C25" w:rsidP="00FF4ED8">
            <w:r>
              <w:t xml:space="preserve">Policy No. </w:t>
            </w:r>
          </w:p>
        </w:tc>
        <w:tc>
          <w:tcPr>
            <w:tcW w:w="1795" w:type="dxa"/>
          </w:tcPr>
          <w:p w:rsidR="00685C25" w:rsidRPr="007D6F57" w:rsidRDefault="00942EBD" w:rsidP="00FF4ED8">
            <w:pPr>
              <w:rPr>
                <w:sz w:val="56"/>
                <w:szCs w:val="56"/>
              </w:rPr>
            </w:pPr>
            <w:r>
              <w:rPr>
                <w:sz w:val="56"/>
                <w:szCs w:val="56"/>
              </w:rPr>
              <w:t>2</w:t>
            </w:r>
          </w:p>
        </w:tc>
      </w:tr>
      <w:tr w:rsidR="00685C25" w:rsidTr="00FF4ED8">
        <w:tc>
          <w:tcPr>
            <w:tcW w:w="5935" w:type="dxa"/>
            <w:vMerge w:val="restart"/>
          </w:tcPr>
          <w:p w:rsidR="00685C25" w:rsidRPr="009D2F91" w:rsidRDefault="00685C25" w:rsidP="00FF4ED8">
            <w:pPr>
              <w:pStyle w:val="Header"/>
              <w:ind w:left="-288" w:right="-282" w:firstLine="288"/>
              <w:rPr>
                <w:rFonts w:eastAsia="+mn-ea"/>
                <w:b/>
                <w:bCs/>
                <w:color w:val="00607F"/>
                <w:kern w:val="24"/>
                <w:sz w:val="26"/>
                <w:szCs w:val="26"/>
              </w:rPr>
            </w:pPr>
            <w:r w:rsidRPr="00331488">
              <w:rPr>
                <w:rFonts w:eastAsia="+mn-ea"/>
                <w:b/>
                <w:bCs/>
                <w:color w:val="00607F"/>
                <w:kern w:val="24"/>
                <w:sz w:val="26"/>
                <w:szCs w:val="26"/>
              </w:rPr>
              <w:t>Greater Nebraska Workforce Development Area</w:t>
            </w:r>
            <w:r w:rsidRPr="009D2F91">
              <w:rPr>
                <w:rFonts w:eastAsia="+mn-ea"/>
                <w:b/>
                <w:bCs/>
                <w:color w:val="00607F"/>
                <w:kern w:val="24"/>
                <w:sz w:val="26"/>
                <w:szCs w:val="26"/>
              </w:rPr>
              <w:t xml:space="preserve"> </w:t>
            </w:r>
          </w:p>
          <w:p w:rsidR="00685C25" w:rsidRPr="00A93C42" w:rsidRDefault="00685C25" w:rsidP="00FF4ED8">
            <w:pPr>
              <w:pStyle w:val="Header"/>
              <w:ind w:left="-288" w:right="-282" w:firstLine="288"/>
              <w:rPr>
                <w:rFonts w:eastAsia="+mn-ea"/>
                <w:bCs/>
                <w:kern w:val="24"/>
              </w:rPr>
            </w:pPr>
            <w:r w:rsidRPr="00A93C42">
              <w:rPr>
                <w:rFonts w:eastAsia="+mn-ea"/>
                <w:bCs/>
                <w:kern w:val="24"/>
              </w:rPr>
              <w:t xml:space="preserve">550 South 16th Street </w:t>
            </w:r>
          </w:p>
          <w:p w:rsidR="00685C25" w:rsidRPr="00A93C42" w:rsidRDefault="00685C25" w:rsidP="00FF4ED8">
            <w:pPr>
              <w:pStyle w:val="Header"/>
              <w:ind w:left="-288" w:right="-282" w:firstLine="288"/>
              <w:rPr>
                <w:rFonts w:eastAsia="+mn-ea"/>
                <w:bCs/>
                <w:kern w:val="24"/>
              </w:rPr>
            </w:pPr>
            <w:r w:rsidRPr="00A93C42">
              <w:rPr>
                <w:rFonts w:eastAsia="+mn-ea"/>
                <w:bCs/>
                <w:kern w:val="24"/>
              </w:rPr>
              <w:t>Lincoln, NE 68508</w:t>
            </w:r>
          </w:p>
          <w:p w:rsidR="00685C25" w:rsidRPr="00A93C42" w:rsidRDefault="00685C25" w:rsidP="00FF4ED8">
            <w:pPr>
              <w:pStyle w:val="Header"/>
              <w:ind w:left="-288" w:right="-282" w:firstLine="288"/>
              <w:rPr>
                <w:rFonts w:eastAsia="+mn-ea"/>
                <w:bCs/>
                <w:kern w:val="24"/>
              </w:rPr>
            </w:pPr>
            <w:r w:rsidRPr="00A93C42">
              <w:rPr>
                <w:rFonts w:eastAsia="+mn-ea"/>
                <w:bCs/>
                <w:kern w:val="24"/>
              </w:rPr>
              <w:t>402.471.9878</w:t>
            </w:r>
          </w:p>
          <w:p w:rsidR="009D2F91" w:rsidRPr="00A93C42" w:rsidRDefault="00AA3652" w:rsidP="009D2F91">
            <w:pPr>
              <w:pStyle w:val="NormalWeb"/>
              <w:spacing w:before="0" w:beforeAutospacing="0" w:after="0" w:afterAutospacing="0"/>
              <w:rPr>
                <w:sz w:val="20"/>
                <w:szCs w:val="20"/>
              </w:rPr>
            </w:pPr>
            <w:hyperlink r:id="rId8" w:history="1">
              <w:r w:rsidR="00685C25" w:rsidRPr="00A93C42">
                <w:rPr>
                  <w:rStyle w:val="Hyperlink"/>
                  <w:rFonts w:cs="Arial"/>
                  <w:sz w:val="20"/>
                  <w:szCs w:val="20"/>
                </w:rPr>
                <w:t>ndol.greaternebraska@nebraska.gov</w:t>
              </w:r>
            </w:hyperlink>
            <w:r w:rsidR="009D2F91" w:rsidRPr="00A93C42">
              <w:rPr>
                <w:rFonts w:cs="Arial"/>
                <w:sz w:val="20"/>
                <w:szCs w:val="20"/>
              </w:rPr>
              <w:t xml:space="preserve"> </w:t>
            </w:r>
          </w:p>
          <w:p w:rsidR="00685C25" w:rsidRPr="00685C25" w:rsidRDefault="00685C25" w:rsidP="00FF4ED8">
            <w:pPr>
              <w:pStyle w:val="Header"/>
              <w:ind w:left="-288" w:right="-282" w:firstLine="288"/>
              <w:rPr>
                <w:rFonts w:cs="Arial"/>
                <w:sz w:val="18"/>
              </w:rPr>
            </w:pPr>
          </w:p>
        </w:tc>
        <w:tc>
          <w:tcPr>
            <w:tcW w:w="1620" w:type="dxa"/>
          </w:tcPr>
          <w:p w:rsidR="00685C25" w:rsidRDefault="00685C25" w:rsidP="00FF4ED8">
            <w:r>
              <w:t>Effective Date</w:t>
            </w:r>
          </w:p>
        </w:tc>
        <w:tc>
          <w:tcPr>
            <w:tcW w:w="1795" w:type="dxa"/>
          </w:tcPr>
          <w:p w:rsidR="00685C25" w:rsidRDefault="00685C25" w:rsidP="00FF4ED8">
            <w:r>
              <w:t>7/1/2017</w:t>
            </w:r>
          </w:p>
        </w:tc>
      </w:tr>
      <w:tr w:rsidR="00685C25" w:rsidTr="00FF4ED8">
        <w:tc>
          <w:tcPr>
            <w:tcW w:w="5935" w:type="dxa"/>
            <w:vMerge/>
          </w:tcPr>
          <w:p w:rsidR="00685C25" w:rsidRPr="00685C25" w:rsidRDefault="00685C25" w:rsidP="00FF4ED8">
            <w:pPr>
              <w:pStyle w:val="Header"/>
              <w:ind w:left="-288" w:right="-282" w:firstLine="288"/>
              <w:rPr>
                <w:rFonts w:cs="Arial"/>
                <w:sz w:val="18"/>
              </w:rPr>
            </w:pPr>
          </w:p>
        </w:tc>
        <w:tc>
          <w:tcPr>
            <w:tcW w:w="1620" w:type="dxa"/>
          </w:tcPr>
          <w:p w:rsidR="00685C25" w:rsidRDefault="00685C25" w:rsidP="00FF4ED8">
            <w:r>
              <w:t xml:space="preserve">Supersedes </w:t>
            </w:r>
          </w:p>
        </w:tc>
        <w:tc>
          <w:tcPr>
            <w:tcW w:w="1795" w:type="dxa"/>
          </w:tcPr>
          <w:p w:rsidR="00685C25" w:rsidRDefault="00685C25" w:rsidP="00FF4ED8"/>
        </w:tc>
      </w:tr>
      <w:tr w:rsidR="00685C25" w:rsidTr="00FF4ED8">
        <w:tc>
          <w:tcPr>
            <w:tcW w:w="5935" w:type="dxa"/>
            <w:vMerge/>
          </w:tcPr>
          <w:p w:rsidR="00685C25" w:rsidRPr="00685C25" w:rsidRDefault="00685C25" w:rsidP="00FF4ED8">
            <w:pPr>
              <w:pStyle w:val="Header"/>
              <w:ind w:left="-288" w:right="-282" w:firstLine="288"/>
              <w:rPr>
                <w:rFonts w:cs="Arial"/>
                <w:sz w:val="18"/>
              </w:rPr>
            </w:pPr>
          </w:p>
        </w:tc>
        <w:tc>
          <w:tcPr>
            <w:tcW w:w="1620" w:type="dxa"/>
          </w:tcPr>
          <w:p w:rsidR="00685C25" w:rsidRDefault="00685C25" w:rsidP="00FF4ED8">
            <w:r>
              <w:t>Revision Date</w:t>
            </w:r>
          </w:p>
        </w:tc>
        <w:tc>
          <w:tcPr>
            <w:tcW w:w="1795" w:type="dxa"/>
          </w:tcPr>
          <w:p w:rsidR="00685C25" w:rsidRDefault="00685C25" w:rsidP="00FF4ED8"/>
        </w:tc>
      </w:tr>
      <w:tr w:rsidR="00685C25" w:rsidTr="00FF4ED8">
        <w:tc>
          <w:tcPr>
            <w:tcW w:w="5935" w:type="dxa"/>
            <w:vMerge/>
          </w:tcPr>
          <w:p w:rsidR="00685C25" w:rsidRPr="00685C25" w:rsidRDefault="00685C25" w:rsidP="00FF4ED8">
            <w:pPr>
              <w:pStyle w:val="Header"/>
              <w:ind w:left="-288" w:right="-282" w:firstLine="288"/>
              <w:rPr>
                <w:rFonts w:cs="Arial"/>
                <w:sz w:val="18"/>
              </w:rPr>
            </w:pPr>
          </w:p>
        </w:tc>
        <w:tc>
          <w:tcPr>
            <w:tcW w:w="1620" w:type="dxa"/>
          </w:tcPr>
          <w:p w:rsidR="00685C25" w:rsidRDefault="00685C25" w:rsidP="00FF4ED8">
            <w:r>
              <w:t xml:space="preserve">Revision No. </w:t>
            </w:r>
          </w:p>
        </w:tc>
        <w:tc>
          <w:tcPr>
            <w:tcW w:w="1795" w:type="dxa"/>
          </w:tcPr>
          <w:p w:rsidR="00685C25" w:rsidRDefault="00685C25" w:rsidP="00FF4ED8"/>
        </w:tc>
      </w:tr>
      <w:tr w:rsidR="00685C25" w:rsidTr="00FF4ED8">
        <w:tc>
          <w:tcPr>
            <w:tcW w:w="5935" w:type="dxa"/>
            <w:vMerge/>
          </w:tcPr>
          <w:p w:rsidR="00685C25" w:rsidRDefault="00685C25" w:rsidP="00FF4ED8"/>
        </w:tc>
        <w:tc>
          <w:tcPr>
            <w:tcW w:w="1620" w:type="dxa"/>
          </w:tcPr>
          <w:p w:rsidR="00685C25" w:rsidRDefault="00685C25" w:rsidP="00FF4ED8">
            <w:r>
              <w:t xml:space="preserve">Approval </w:t>
            </w:r>
          </w:p>
        </w:tc>
        <w:tc>
          <w:tcPr>
            <w:tcW w:w="1795" w:type="dxa"/>
          </w:tcPr>
          <w:p w:rsidR="00685C25" w:rsidRDefault="00685C25" w:rsidP="00FF4ED8">
            <w:r>
              <w:t xml:space="preserve">GNWDB </w:t>
            </w:r>
          </w:p>
        </w:tc>
      </w:tr>
    </w:tbl>
    <w:p w:rsidR="00685C25" w:rsidRDefault="00685C25" w:rsidP="00A454BA">
      <w:pPr>
        <w:spacing w:after="0" w:line="240" w:lineRule="auto"/>
        <w:jc w:val="both"/>
        <w:rPr>
          <w:rFonts w:eastAsia="Times New Roman" w:cs="Times New Roman"/>
          <w:b/>
          <w:u w:val="single"/>
        </w:rPr>
      </w:pPr>
    </w:p>
    <w:p w:rsidR="00685C25" w:rsidRPr="00685C25" w:rsidRDefault="00685C25" w:rsidP="00A454BA">
      <w:pPr>
        <w:spacing w:after="0" w:line="240" w:lineRule="auto"/>
        <w:jc w:val="both"/>
        <w:rPr>
          <w:rFonts w:eastAsia="Times New Roman" w:cs="Times New Roman"/>
          <w:b/>
          <w:u w:val="single"/>
        </w:rPr>
      </w:pPr>
      <w:r w:rsidRPr="00685C25">
        <w:rPr>
          <w:rFonts w:eastAsia="+mn-ea" w:cs="Times New Roman"/>
          <w:b/>
          <w:bCs/>
          <w:color w:val="00607F"/>
          <w:kern w:val="24"/>
          <w:sz w:val="28"/>
          <w:szCs w:val="28"/>
          <w:u w:val="single"/>
        </w:rPr>
        <w:t>Reference</w:t>
      </w:r>
      <w:r w:rsidR="009D2F91" w:rsidRPr="009D2F91">
        <w:rPr>
          <w:rFonts w:eastAsia="Times New Roman" w:cs="Times New Roman"/>
          <w:b/>
          <w:u w:val="single"/>
        </w:rPr>
        <w:t xml:space="preserve"> </w:t>
      </w:r>
    </w:p>
    <w:p w:rsidR="00750CEC" w:rsidRDefault="00750CEC" w:rsidP="00A454BA">
      <w:pPr>
        <w:spacing w:after="0"/>
        <w:jc w:val="both"/>
        <w:rPr>
          <w:sz w:val="23"/>
          <w:szCs w:val="23"/>
        </w:rPr>
      </w:pPr>
      <w:r>
        <w:rPr>
          <w:sz w:val="23"/>
          <w:szCs w:val="23"/>
        </w:rPr>
        <w:t>Workforce Innovation and Opportunity Act (WIO</w:t>
      </w:r>
      <w:r w:rsidR="00942EBD">
        <w:rPr>
          <w:sz w:val="23"/>
          <w:szCs w:val="23"/>
        </w:rPr>
        <w:t xml:space="preserve">A) Section 3 </w:t>
      </w:r>
    </w:p>
    <w:p w:rsidR="00C66F5B" w:rsidRDefault="00C66F5B" w:rsidP="00A454BA">
      <w:pPr>
        <w:spacing w:after="0"/>
        <w:jc w:val="both"/>
        <w:rPr>
          <w:sz w:val="23"/>
          <w:szCs w:val="23"/>
        </w:rPr>
      </w:pPr>
      <w:r>
        <w:rPr>
          <w:sz w:val="23"/>
          <w:szCs w:val="23"/>
        </w:rPr>
        <w:t>Uniform Requirements, Cost Principles, and Audit Requirements for Federal Awards Final Rule</w:t>
      </w:r>
    </w:p>
    <w:p w:rsidR="00942EBD" w:rsidRDefault="00942EBD" w:rsidP="00A454BA">
      <w:pPr>
        <w:pStyle w:val="Default"/>
        <w:jc w:val="both"/>
        <w:rPr>
          <w:rFonts w:ascii="Times New Roman" w:hAnsi="Times New Roman" w:cstheme="minorBidi"/>
          <w:color w:val="auto"/>
          <w:sz w:val="23"/>
          <w:szCs w:val="23"/>
        </w:rPr>
      </w:pPr>
      <w:r w:rsidRPr="00942EBD">
        <w:rPr>
          <w:rFonts w:ascii="Times New Roman" w:hAnsi="Times New Roman" w:cstheme="minorBidi"/>
          <w:color w:val="auto"/>
          <w:sz w:val="23"/>
          <w:szCs w:val="23"/>
        </w:rPr>
        <w:t>2 CFR Part 200</w:t>
      </w:r>
    </w:p>
    <w:p w:rsidR="00C06578" w:rsidRDefault="00002F99" w:rsidP="00A454BA">
      <w:pPr>
        <w:pStyle w:val="Default"/>
        <w:jc w:val="both"/>
        <w:rPr>
          <w:rFonts w:ascii="Times New Roman" w:hAnsi="Times New Roman" w:cstheme="minorBidi"/>
          <w:color w:val="auto"/>
          <w:sz w:val="23"/>
          <w:szCs w:val="23"/>
        </w:rPr>
      </w:pPr>
      <w:r>
        <w:rPr>
          <w:rFonts w:ascii="Times New Roman" w:hAnsi="Times New Roman" w:cstheme="minorBidi"/>
          <w:color w:val="auto"/>
          <w:sz w:val="23"/>
          <w:szCs w:val="23"/>
        </w:rPr>
        <w:t xml:space="preserve">20 CFR </w:t>
      </w:r>
      <w:r w:rsidR="00942EBD" w:rsidRPr="00942EBD">
        <w:rPr>
          <w:rFonts w:ascii="Times New Roman" w:hAnsi="Times New Roman" w:cstheme="minorBidi"/>
          <w:color w:val="auto"/>
          <w:sz w:val="23"/>
          <w:szCs w:val="23"/>
        </w:rPr>
        <w:t>§ 683.205, 683.215</w:t>
      </w:r>
    </w:p>
    <w:p w:rsidR="00942EBD" w:rsidRPr="00942EBD" w:rsidRDefault="00942EBD" w:rsidP="00A454BA">
      <w:pPr>
        <w:pStyle w:val="Default"/>
        <w:jc w:val="both"/>
        <w:rPr>
          <w:rFonts w:ascii="Times New Roman" w:hAnsi="Times New Roman" w:cstheme="minorBidi"/>
          <w:color w:val="auto"/>
          <w:sz w:val="23"/>
          <w:szCs w:val="23"/>
        </w:rPr>
      </w:pPr>
      <w:r>
        <w:rPr>
          <w:rFonts w:ascii="Times New Roman" w:hAnsi="Times New Roman" w:cstheme="minorBidi"/>
          <w:color w:val="auto"/>
          <w:sz w:val="23"/>
          <w:szCs w:val="23"/>
        </w:rPr>
        <w:t>TEGL 12-14</w:t>
      </w:r>
    </w:p>
    <w:p w:rsidR="00750CEC" w:rsidRPr="00F136BE" w:rsidRDefault="00750CEC" w:rsidP="00A454BA">
      <w:pPr>
        <w:spacing w:after="0"/>
        <w:jc w:val="both"/>
        <w:rPr>
          <w:rFonts w:eastAsia="Times New Roman" w:cs="Times New Roman"/>
        </w:rPr>
      </w:pPr>
      <w:r w:rsidRPr="00750CEC">
        <w:rPr>
          <w:rFonts w:eastAsia="Times New Roman" w:cs="Times New Roman"/>
        </w:rPr>
        <w:t>Nebraska Depa</w:t>
      </w:r>
      <w:r w:rsidR="0073736B">
        <w:rPr>
          <w:rFonts w:eastAsia="Times New Roman" w:cs="Times New Roman"/>
        </w:rPr>
        <w:t>rtment of Labor (NDOL) Interim Po</w:t>
      </w:r>
      <w:r w:rsidR="00942EBD">
        <w:rPr>
          <w:rFonts w:eastAsia="Times New Roman" w:cs="Times New Roman"/>
        </w:rPr>
        <w:t xml:space="preserve">licy on Administrative Cost Limitation </w:t>
      </w:r>
    </w:p>
    <w:p w:rsidR="00750CEC" w:rsidRDefault="00750CEC" w:rsidP="00A454BA">
      <w:pPr>
        <w:spacing w:after="0" w:line="240" w:lineRule="auto"/>
        <w:jc w:val="both"/>
        <w:rPr>
          <w:rFonts w:eastAsia="Times New Roman" w:cs="Times New Roman"/>
          <w:b/>
          <w:u w:val="single"/>
        </w:rPr>
      </w:pPr>
    </w:p>
    <w:p w:rsidR="00685C25" w:rsidRPr="00685C25" w:rsidRDefault="00685C25" w:rsidP="00A454BA">
      <w:pPr>
        <w:spacing w:after="0" w:line="240" w:lineRule="auto"/>
        <w:jc w:val="both"/>
        <w:rPr>
          <w:rFonts w:eastAsia="+mn-ea" w:cs="Times New Roman"/>
          <w:b/>
          <w:bCs/>
          <w:color w:val="00607F"/>
          <w:kern w:val="24"/>
          <w:sz w:val="28"/>
          <w:szCs w:val="28"/>
          <w:u w:val="single"/>
        </w:rPr>
      </w:pPr>
      <w:r w:rsidRPr="00685C25">
        <w:rPr>
          <w:rFonts w:eastAsia="+mn-ea" w:cs="Times New Roman"/>
          <w:b/>
          <w:bCs/>
          <w:color w:val="00607F"/>
          <w:kern w:val="24"/>
          <w:sz w:val="28"/>
          <w:szCs w:val="28"/>
          <w:u w:val="single"/>
        </w:rPr>
        <w:t>Purpose</w:t>
      </w:r>
    </w:p>
    <w:p w:rsidR="00685C25" w:rsidRPr="00685C25" w:rsidRDefault="00750CEC" w:rsidP="00A454BA">
      <w:pPr>
        <w:spacing w:after="0" w:line="240" w:lineRule="auto"/>
        <w:jc w:val="both"/>
        <w:rPr>
          <w:rFonts w:eastAsia="Times New Roman" w:cs="Times New Roman"/>
        </w:rPr>
      </w:pPr>
      <w:r>
        <w:rPr>
          <w:rFonts w:eastAsia="Times New Roman" w:cs="Times New Roman"/>
        </w:rPr>
        <w:t xml:space="preserve">This policy </w:t>
      </w:r>
      <w:r w:rsidR="00A454BA">
        <w:rPr>
          <w:rFonts w:eastAsia="Times New Roman" w:cs="Times New Roman"/>
        </w:rPr>
        <w:t xml:space="preserve">defines administrative cost limitations. </w:t>
      </w:r>
    </w:p>
    <w:p w:rsidR="00685C25" w:rsidRPr="00685C25" w:rsidRDefault="00685C25" w:rsidP="00A454BA">
      <w:pPr>
        <w:tabs>
          <w:tab w:val="left" w:pos="3660"/>
        </w:tabs>
        <w:spacing w:after="0" w:line="240" w:lineRule="auto"/>
        <w:jc w:val="both"/>
        <w:rPr>
          <w:rFonts w:eastAsia="Times New Roman" w:cs="Times New Roman"/>
        </w:rPr>
      </w:pPr>
      <w:r w:rsidRPr="00685C25">
        <w:rPr>
          <w:rFonts w:eastAsia="Times New Roman" w:cs="Times New Roman"/>
        </w:rPr>
        <w:tab/>
      </w:r>
    </w:p>
    <w:p w:rsidR="00685C25" w:rsidRPr="00685C25" w:rsidRDefault="00685C25" w:rsidP="00A454BA">
      <w:pPr>
        <w:spacing w:after="0" w:line="240" w:lineRule="auto"/>
        <w:jc w:val="both"/>
        <w:rPr>
          <w:rFonts w:eastAsia="+mn-ea" w:cs="Times New Roman"/>
          <w:b/>
          <w:bCs/>
          <w:color w:val="00607F"/>
          <w:kern w:val="24"/>
          <w:sz w:val="28"/>
          <w:szCs w:val="28"/>
          <w:u w:val="single"/>
        </w:rPr>
      </w:pPr>
      <w:r w:rsidRPr="00685C25">
        <w:rPr>
          <w:rFonts w:eastAsia="+mn-ea" w:cs="Times New Roman"/>
          <w:b/>
          <w:bCs/>
          <w:color w:val="00607F"/>
          <w:kern w:val="24"/>
          <w:sz w:val="28"/>
          <w:szCs w:val="28"/>
          <w:u w:val="single"/>
        </w:rPr>
        <w:t xml:space="preserve">Background </w:t>
      </w:r>
    </w:p>
    <w:p w:rsidR="0073736B" w:rsidRDefault="00942EBD" w:rsidP="00A454BA">
      <w:pPr>
        <w:spacing w:after="0" w:line="240" w:lineRule="auto"/>
        <w:jc w:val="both"/>
        <w:rPr>
          <w:sz w:val="23"/>
          <w:szCs w:val="23"/>
        </w:rPr>
      </w:pPr>
      <w:r>
        <w:rPr>
          <w:sz w:val="23"/>
          <w:szCs w:val="23"/>
        </w:rPr>
        <w:t>WIOA and 2 CFR Part 200, Uniform Administrative Requirements, Cost Principles, and Audit Requirements for Federal Awards Final Rule (Uniform Guidance) provide administrative cost limitations that apply to local area Workforce Innovation and Opportunity Act (WIOA) expenditures.</w:t>
      </w:r>
    </w:p>
    <w:p w:rsidR="00942EBD" w:rsidRDefault="00942EBD" w:rsidP="00A454BA">
      <w:pPr>
        <w:spacing w:after="0" w:line="240" w:lineRule="auto"/>
        <w:jc w:val="both"/>
        <w:rPr>
          <w:rFonts w:eastAsia="Times New Roman" w:cs="Times New Roman"/>
        </w:rPr>
      </w:pPr>
    </w:p>
    <w:p w:rsidR="00685C25" w:rsidRPr="009D2F91" w:rsidRDefault="00685C25" w:rsidP="00A454BA">
      <w:pPr>
        <w:spacing w:after="0" w:line="240" w:lineRule="auto"/>
        <w:jc w:val="both"/>
        <w:rPr>
          <w:rFonts w:eastAsia="+mn-ea" w:cs="Times New Roman"/>
          <w:b/>
          <w:bCs/>
          <w:color w:val="00607F"/>
          <w:kern w:val="24"/>
          <w:sz w:val="28"/>
          <w:szCs w:val="28"/>
          <w:u w:val="single"/>
        </w:rPr>
      </w:pPr>
      <w:r w:rsidRPr="009D2F91">
        <w:rPr>
          <w:rFonts w:eastAsia="+mn-ea" w:cs="Times New Roman"/>
          <w:b/>
          <w:bCs/>
          <w:color w:val="00607F"/>
          <w:kern w:val="24"/>
          <w:sz w:val="28"/>
          <w:szCs w:val="28"/>
          <w:u w:val="single"/>
        </w:rPr>
        <w:t xml:space="preserve">Action </w:t>
      </w:r>
    </w:p>
    <w:p w:rsidR="00685C25" w:rsidRPr="00E7754D" w:rsidRDefault="00C66F5B" w:rsidP="00A454BA">
      <w:pPr>
        <w:pStyle w:val="Default"/>
        <w:jc w:val="both"/>
        <w:rPr>
          <w:rFonts w:ascii="Times New Roman" w:hAnsi="Times New Roman" w:cs="Times New Roman"/>
          <w:sz w:val="22"/>
          <w:szCs w:val="22"/>
        </w:rPr>
      </w:pPr>
      <w:r>
        <w:rPr>
          <w:rFonts w:ascii="Times New Roman" w:eastAsia="Times New Roman" w:hAnsi="Times New Roman" w:cs="Times New Roman"/>
          <w:sz w:val="22"/>
          <w:szCs w:val="22"/>
        </w:rPr>
        <w:t>Effective 7/1/2017, the Administrative Entity</w:t>
      </w:r>
      <w:r w:rsidR="00817949">
        <w:rPr>
          <w:rFonts w:ascii="Times New Roman" w:eastAsia="Times New Roman" w:hAnsi="Times New Roman" w:cs="Times New Roman"/>
          <w:sz w:val="22"/>
          <w:szCs w:val="22"/>
        </w:rPr>
        <w:t>, NDOL finance staff, and</w:t>
      </w:r>
      <w:r>
        <w:rPr>
          <w:rFonts w:ascii="Times New Roman" w:eastAsia="Times New Roman" w:hAnsi="Times New Roman" w:cs="Times New Roman"/>
          <w:sz w:val="22"/>
          <w:szCs w:val="22"/>
        </w:rPr>
        <w:t xml:space="preserve"> related</w:t>
      </w:r>
      <w:r w:rsidR="009D2F91" w:rsidRPr="00E7754D">
        <w:rPr>
          <w:rFonts w:ascii="Times New Roman" w:eastAsia="Times New Roman" w:hAnsi="Times New Roman" w:cs="Times New Roman"/>
          <w:sz w:val="22"/>
          <w:szCs w:val="22"/>
        </w:rPr>
        <w:t xml:space="preserve"> service provider</w:t>
      </w:r>
      <w:r w:rsidR="00685C25" w:rsidRPr="00E7754D">
        <w:rPr>
          <w:rFonts w:ascii="Times New Roman" w:eastAsia="Times New Roman" w:hAnsi="Times New Roman" w:cs="Times New Roman"/>
          <w:sz w:val="22"/>
          <w:szCs w:val="22"/>
        </w:rPr>
        <w:t xml:space="preserve"> staff </w:t>
      </w:r>
      <w:r w:rsidR="009D2F91" w:rsidRPr="00E7754D">
        <w:rPr>
          <w:rFonts w:ascii="Times New Roman" w:eastAsia="Times New Roman" w:hAnsi="Times New Roman" w:cs="Times New Roman"/>
          <w:sz w:val="22"/>
          <w:szCs w:val="22"/>
        </w:rPr>
        <w:t xml:space="preserve">must implement this policy. </w:t>
      </w:r>
      <w:r w:rsidR="00E7754D" w:rsidRPr="00E7754D">
        <w:rPr>
          <w:rFonts w:ascii="Times New Roman" w:hAnsi="Times New Roman" w:cs="Times New Roman"/>
          <w:sz w:val="22"/>
          <w:szCs w:val="22"/>
        </w:rPr>
        <w:t xml:space="preserve">Questions and comments should be submitted in writing to the Greater Nebraska WIOA Mailbox: </w:t>
      </w:r>
      <w:hyperlink r:id="rId9" w:history="1">
        <w:r w:rsidR="00E7754D" w:rsidRPr="00E7754D">
          <w:rPr>
            <w:rStyle w:val="Hyperlink"/>
            <w:rFonts w:ascii="Times New Roman" w:hAnsi="Times New Roman" w:cs="Times New Roman"/>
            <w:sz w:val="22"/>
            <w:szCs w:val="22"/>
          </w:rPr>
          <w:t>ndol.greaternebraska@nebraska.gov</w:t>
        </w:r>
      </w:hyperlink>
      <w:r w:rsidR="00E7754D" w:rsidRPr="00E7754D">
        <w:rPr>
          <w:rFonts w:ascii="Times New Roman" w:hAnsi="Times New Roman" w:cs="Times New Roman"/>
          <w:sz w:val="22"/>
          <w:szCs w:val="22"/>
        </w:rPr>
        <w:t xml:space="preserve">. </w:t>
      </w:r>
    </w:p>
    <w:p w:rsidR="009E5E0D" w:rsidRPr="00685C25" w:rsidRDefault="009E5E0D" w:rsidP="00A454BA">
      <w:pPr>
        <w:spacing w:after="0" w:line="240" w:lineRule="auto"/>
        <w:jc w:val="both"/>
        <w:rPr>
          <w:rFonts w:eastAsia="Times New Roman" w:cs="Times New Roman"/>
        </w:rPr>
      </w:pPr>
    </w:p>
    <w:p w:rsidR="00685C25" w:rsidRDefault="00685C25" w:rsidP="00A454BA">
      <w:pPr>
        <w:spacing w:after="0" w:line="240" w:lineRule="auto"/>
        <w:jc w:val="both"/>
        <w:rPr>
          <w:rFonts w:eastAsia="+mn-ea" w:cs="Times New Roman"/>
          <w:b/>
          <w:bCs/>
          <w:color w:val="00607F"/>
          <w:kern w:val="24"/>
          <w:sz w:val="28"/>
          <w:szCs w:val="28"/>
          <w:u w:val="single"/>
        </w:rPr>
      </w:pPr>
      <w:r w:rsidRPr="00685C25">
        <w:rPr>
          <w:rFonts w:eastAsia="+mn-ea" w:cs="Times New Roman"/>
          <w:b/>
          <w:bCs/>
          <w:color w:val="00607F"/>
          <w:kern w:val="24"/>
          <w:sz w:val="28"/>
          <w:szCs w:val="28"/>
          <w:u w:val="single"/>
        </w:rPr>
        <w:t xml:space="preserve">Policy </w:t>
      </w:r>
    </w:p>
    <w:p w:rsidR="001E5A01" w:rsidRDefault="001E5A01" w:rsidP="00A454BA">
      <w:pPr>
        <w:spacing w:after="0" w:line="240" w:lineRule="auto"/>
        <w:jc w:val="both"/>
        <w:rPr>
          <w:rFonts w:eastAsia="+mn-ea" w:cs="Times New Roman"/>
          <w:b/>
          <w:bCs/>
          <w:color w:val="00607F"/>
          <w:kern w:val="24"/>
          <w:sz w:val="28"/>
          <w:szCs w:val="28"/>
          <w:u w:val="single"/>
        </w:rPr>
      </w:pPr>
    </w:p>
    <w:p w:rsidR="001E5A01" w:rsidRPr="001E5A01" w:rsidRDefault="001E5A01" w:rsidP="00A454BA">
      <w:pPr>
        <w:spacing w:after="0" w:line="240" w:lineRule="auto"/>
        <w:jc w:val="both"/>
        <w:rPr>
          <w:rFonts w:eastAsia="+mn-ea" w:cs="Times New Roman"/>
          <w:bCs/>
          <w:color w:val="00607F"/>
          <w:kern w:val="24"/>
          <w:sz w:val="28"/>
          <w:szCs w:val="28"/>
        </w:rPr>
      </w:pPr>
      <w:r w:rsidRPr="001E5A01">
        <w:rPr>
          <w:rFonts w:eastAsia="+mn-ea" w:cs="Times New Roman"/>
          <w:bCs/>
          <w:color w:val="00607F"/>
          <w:kern w:val="24"/>
          <w:sz w:val="28"/>
          <w:szCs w:val="28"/>
        </w:rPr>
        <w:t xml:space="preserve">Limit </w:t>
      </w:r>
    </w:p>
    <w:p w:rsidR="001E5A01" w:rsidRPr="001E5A01" w:rsidRDefault="001E5A01" w:rsidP="00A454BA">
      <w:pPr>
        <w:pStyle w:val="Default"/>
        <w:jc w:val="both"/>
        <w:rPr>
          <w:rFonts w:ascii="Times New Roman" w:hAnsi="Times New Roman" w:cs="Times New Roman"/>
          <w:color w:val="auto"/>
          <w:sz w:val="23"/>
          <w:szCs w:val="23"/>
        </w:rPr>
      </w:pPr>
      <w:r w:rsidRPr="001E5A01">
        <w:rPr>
          <w:rFonts w:ascii="Times New Roman" w:hAnsi="Times New Roman" w:cs="Times New Roman"/>
          <w:color w:val="auto"/>
          <w:sz w:val="23"/>
          <w:szCs w:val="23"/>
        </w:rPr>
        <w:t xml:space="preserve">For a fiscal year </w:t>
      </w:r>
      <w:r>
        <w:rPr>
          <w:rFonts w:ascii="Times New Roman" w:hAnsi="Times New Roman" w:cs="Times New Roman"/>
          <w:color w:val="auto"/>
          <w:sz w:val="23"/>
          <w:szCs w:val="23"/>
        </w:rPr>
        <w:t xml:space="preserve">not more than 10 percent of the </w:t>
      </w:r>
      <w:r w:rsidRPr="001E5A01">
        <w:rPr>
          <w:rFonts w:ascii="Times New Roman" w:hAnsi="Times New Roman" w:cs="Times New Roman"/>
          <w:color w:val="auto"/>
          <w:sz w:val="23"/>
          <w:szCs w:val="23"/>
        </w:rPr>
        <w:t>amount</w:t>
      </w:r>
      <w:r>
        <w:rPr>
          <w:rFonts w:ascii="Times New Roman" w:hAnsi="Times New Roman" w:cs="Times New Roman"/>
          <w:color w:val="auto"/>
          <w:sz w:val="23"/>
          <w:szCs w:val="23"/>
        </w:rPr>
        <w:t xml:space="preserve"> of program funds (Adult, DLW, &amp; Youth)</w:t>
      </w:r>
      <w:r w:rsidRPr="001E5A01">
        <w:rPr>
          <w:rFonts w:ascii="Times New Roman" w:hAnsi="Times New Roman" w:cs="Times New Roman"/>
          <w:color w:val="auto"/>
          <w:sz w:val="23"/>
          <w:szCs w:val="23"/>
        </w:rPr>
        <w:t xml:space="preserve"> may be used by the local board for the administrative costs of carrying out youth workforce development activities or adult and dislocated worker empl</w:t>
      </w:r>
      <w:r w:rsidR="00FD273E">
        <w:rPr>
          <w:rFonts w:ascii="Times New Roman" w:hAnsi="Times New Roman" w:cs="Times New Roman"/>
          <w:color w:val="auto"/>
          <w:sz w:val="23"/>
          <w:szCs w:val="23"/>
        </w:rPr>
        <w:t>oyment and training activities.</w:t>
      </w:r>
      <w:r w:rsidR="00FD273E">
        <w:rPr>
          <w:rStyle w:val="FootnoteReference"/>
          <w:rFonts w:ascii="Times New Roman" w:hAnsi="Times New Roman" w:cs="Times New Roman"/>
          <w:color w:val="auto"/>
          <w:sz w:val="23"/>
          <w:szCs w:val="23"/>
        </w:rPr>
        <w:footnoteReference w:id="1"/>
      </w:r>
    </w:p>
    <w:p w:rsidR="00817949" w:rsidRDefault="00817949" w:rsidP="00A454BA">
      <w:pPr>
        <w:spacing w:after="0" w:line="240" w:lineRule="auto"/>
        <w:jc w:val="both"/>
        <w:rPr>
          <w:sz w:val="23"/>
          <w:szCs w:val="23"/>
        </w:rPr>
      </w:pPr>
    </w:p>
    <w:p w:rsidR="00817949" w:rsidRPr="00817949" w:rsidRDefault="00817949" w:rsidP="00A454BA">
      <w:pPr>
        <w:spacing w:after="0" w:line="240" w:lineRule="auto"/>
        <w:jc w:val="both"/>
        <w:rPr>
          <w:rFonts w:eastAsia="+mn-ea" w:cs="Times New Roman"/>
          <w:bCs/>
          <w:color w:val="00607F"/>
          <w:kern w:val="24"/>
          <w:sz w:val="28"/>
          <w:szCs w:val="28"/>
        </w:rPr>
      </w:pPr>
      <w:r>
        <w:rPr>
          <w:rFonts w:eastAsia="+mn-ea" w:cs="Times New Roman"/>
          <w:bCs/>
          <w:color w:val="00607F"/>
          <w:kern w:val="24"/>
          <w:sz w:val="28"/>
          <w:szCs w:val="28"/>
        </w:rPr>
        <w:t>Cost of A</w:t>
      </w:r>
      <w:r w:rsidRPr="00817949">
        <w:rPr>
          <w:rFonts w:eastAsia="+mn-ea" w:cs="Times New Roman"/>
          <w:bCs/>
          <w:color w:val="00607F"/>
          <w:kern w:val="24"/>
          <w:sz w:val="28"/>
          <w:szCs w:val="28"/>
        </w:rPr>
        <w:t>dministration</w:t>
      </w:r>
    </w:p>
    <w:p w:rsidR="00C66F5B" w:rsidRDefault="00C66F5B" w:rsidP="00A454BA">
      <w:pPr>
        <w:spacing w:after="0" w:line="240" w:lineRule="auto"/>
        <w:jc w:val="both"/>
        <w:rPr>
          <w:sz w:val="23"/>
          <w:szCs w:val="23"/>
        </w:rPr>
      </w:pPr>
      <w:r>
        <w:rPr>
          <w:sz w:val="23"/>
          <w:szCs w:val="23"/>
        </w:rPr>
        <w:t xml:space="preserve">The costs of administration, or “administrative costs,” are expenditures incurred by the Chief Elected Officials Board, Greater Nebraska Workforce Development Board, Administrative Entity, </w:t>
      </w:r>
      <w:r w:rsidR="00A24959">
        <w:rPr>
          <w:sz w:val="23"/>
          <w:szCs w:val="23"/>
        </w:rPr>
        <w:t xml:space="preserve">program service providers, </w:t>
      </w:r>
      <w:r>
        <w:rPr>
          <w:sz w:val="23"/>
          <w:szCs w:val="23"/>
        </w:rPr>
        <w:t xml:space="preserve">and One-Stop Operator that are associated with following functions: </w:t>
      </w:r>
    </w:p>
    <w:p w:rsidR="00C66F5B" w:rsidRDefault="00C66F5B" w:rsidP="00A454BA">
      <w:pPr>
        <w:pStyle w:val="Default"/>
        <w:jc w:val="both"/>
      </w:pPr>
    </w:p>
    <w:p w:rsidR="00C66F5B" w:rsidRPr="00C66F5B" w:rsidRDefault="00C66F5B" w:rsidP="00A454BA">
      <w:pPr>
        <w:pStyle w:val="Default"/>
        <w:numPr>
          <w:ilvl w:val="0"/>
          <w:numId w:val="7"/>
        </w:numPr>
        <w:jc w:val="both"/>
        <w:rPr>
          <w:rFonts w:ascii="Times New Roman" w:hAnsi="Times New Roman" w:cs="Times New Roman"/>
          <w:sz w:val="22"/>
          <w:szCs w:val="22"/>
        </w:rPr>
      </w:pPr>
      <w:r w:rsidRPr="00C66F5B">
        <w:rPr>
          <w:rFonts w:ascii="Times New Roman" w:hAnsi="Times New Roman" w:cs="Times New Roman"/>
          <w:sz w:val="22"/>
          <w:szCs w:val="22"/>
        </w:rPr>
        <w:t xml:space="preserve">Performing overall general administrative functions and coordination of those functions under Title I of WIOA: </w:t>
      </w:r>
    </w:p>
    <w:p w:rsidR="00C66F5B" w:rsidRPr="00C66F5B" w:rsidRDefault="00C66F5B" w:rsidP="00A454BA">
      <w:pPr>
        <w:pStyle w:val="Default"/>
        <w:numPr>
          <w:ilvl w:val="1"/>
          <w:numId w:val="7"/>
        </w:numPr>
        <w:spacing w:after="20"/>
        <w:jc w:val="both"/>
        <w:rPr>
          <w:rFonts w:ascii="Times New Roman" w:hAnsi="Times New Roman" w:cs="Times New Roman"/>
          <w:sz w:val="22"/>
          <w:szCs w:val="22"/>
        </w:rPr>
      </w:pPr>
      <w:r w:rsidRPr="00C66F5B">
        <w:rPr>
          <w:rFonts w:ascii="Times New Roman" w:hAnsi="Times New Roman" w:cs="Times New Roman"/>
          <w:sz w:val="22"/>
          <w:szCs w:val="22"/>
        </w:rPr>
        <w:t xml:space="preserve">Accounting, budgeting, financial and cash management functions; </w:t>
      </w:r>
    </w:p>
    <w:p w:rsidR="00C66F5B" w:rsidRPr="00C66F5B" w:rsidRDefault="00C66F5B" w:rsidP="00A454BA">
      <w:pPr>
        <w:pStyle w:val="Default"/>
        <w:numPr>
          <w:ilvl w:val="1"/>
          <w:numId w:val="7"/>
        </w:numPr>
        <w:spacing w:after="20"/>
        <w:jc w:val="both"/>
        <w:rPr>
          <w:rFonts w:ascii="Times New Roman" w:hAnsi="Times New Roman" w:cs="Times New Roman"/>
          <w:sz w:val="22"/>
          <w:szCs w:val="22"/>
        </w:rPr>
      </w:pPr>
      <w:r w:rsidRPr="00C66F5B">
        <w:rPr>
          <w:rFonts w:ascii="Times New Roman" w:hAnsi="Times New Roman" w:cs="Times New Roman"/>
          <w:sz w:val="22"/>
          <w:szCs w:val="22"/>
        </w:rPr>
        <w:t xml:space="preserve">Procurement and purchasing functions; </w:t>
      </w:r>
    </w:p>
    <w:p w:rsidR="00C66F5B" w:rsidRPr="00C66F5B" w:rsidRDefault="00C66F5B" w:rsidP="00A454BA">
      <w:pPr>
        <w:pStyle w:val="Default"/>
        <w:numPr>
          <w:ilvl w:val="1"/>
          <w:numId w:val="7"/>
        </w:numPr>
        <w:spacing w:after="20"/>
        <w:jc w:val="both"/>
        <w:rPr>
          <w:rFonts w:ascii="Times New Roman" w:hAnsi="Times New Roman" w:cs="Times New Roman"/>
          <w:sz w:val="22"/>
          <w:szCs w:val="22"/>
        </w:rPr>
      </w:pPr>
      <w:r w:rsidRPr="00C66F5B">
        <w:rPr>
          <w:rFonts w:ascii="Times New Roman" w:hAnsi="Times New Roman" w:cs="Times New Roman"/>
          <w:sz w:val="22"/>
          <w:szCs w:val="22"/>
        </w:rPr>
        <w:t xml:space="preserve">Property management functions; </w:t>
      </w:r>
    </w:p>
    <w:p w:rsidR="00C66F5B" w:rsidRPr="00C66F5B" w:rsidRDefault="00C66F5B" w:rsidP="00A454BA">
      <w:pPr>
        <w:pStyle w:val="Default"/>
        <w:numPr>
          <w:ilvl w:val="1"/>
          <w:numId w:val="7"/>
        </w:numPr>
        <w:spacing w:after="20"/>
        <w:jc w:val="both"/>
        <w:rPr>
          <w:rFonts w:ascii="Times New Roman" w:hAnsi="Times New Roman" w:cs="Times New Roman"/>
          <w:sz w:val="22"/>
          <w:szCs w:val="22"/>
        </w:rPr>
      </w:pPr>
      <w:r w:rsidRPr="00C66F5B">
        <w:rPr>
          <w:rFonts w:ascii="Times New Roman" w:hAnsi="Times New Roman" w:cs="Times New Roman"/>
          <w:sz w:val="22"/>
          <w:szCs w:val="22"/>
        </w:rPr>
        <w:t xml:space="preserve">Personnel management functions; </w:t>
      </w:r>
    </w:p>
    <w:p w:rsidR="00C66F5B" w:rsidRPr="00C66F5B" w:rsidRDefault="00C66F5B" w:rsidP="00A454BA">
      <w:pPr>
        <w:pStyle w:val="Default"/>
        <w:numPr>
          <w:ilvl w:val="1"/>
          <w:numId w:val="7"/>
        </w:numPr>
        <w:spacing w:after="20"/>
        <w:jc w:val="both"/>
        <w:rPr>
          <w:rFonts w:ascii="Times New Roman" w:hAnsi="Times New Roman" w:cs="Times New Roman"/>
          <w:sz w:val="22"/>
          <w:szCs w:val="22"/>
        </w:rPr>
      </w:pPr>
      <w:r w:rsidRPr="00C66F5B">
        <w:rPr>
          <w:rFonts w:ascii="Times New Roman" w:hAnsi="Times New Roman" w:cs="Times New Roman"/>
          <w:sz w:val="22"/>
          <w:szCs w:val="22"/>
        </w:rPr>
        <w:t xml:space="preserve">Payroll functions; </w:t>
      </w:r>
    </w:p>
    <w:p w:rsidR="00C66F5B" w:rsidRPr="00C66F5B" w:rsidRDefault="00C66F5B" w:rsidP="00A454BA">
      <w:pPr>
        <w:pStyle w:val="Default"/>
        <w:numPr>
          <w:ilvl w:val="1"/>
          <w:numId w:val="7"/>
        </w:numPr>
        <w:spacing w:after="20"/>
        <w:jc w:val="both"/>
        <w:rPr>
          <w:rFonts w:ascii="Times New Roman" w:hAnsi="Times New Roman" w:cs="Times New Roman"/>
          <w:sz w:val="22"/>
          <w:szCs w:val="22"/>
        </w:rPr>
      </w:pPr>
      <w:r w:rsidRPr="00C66F5B">
        <w:rPr>
          <w:rFonts w:ascii="Times New Roman" w:hAnsi="Times New Roman" w:cs="Times New Roman"/>
          <w:sz w:val="22"/>
          <w:szCs w:val="22"/>
        </w:rPr>
        <w:t xml:space="preserve">Coordinating the resolution of findings arising from audits, reviews, investigations, and incident reports; </w:t>
      </w:r>
    </w:p>
    <w:p w:rsidR="00C66F5B" w:rsidRPr="00C66F5B" w:rsidRDefault="00C66F5B" w:rsidP="00A454BA">
      <w:pPr>
        <w:pStyle w:val="Default"/>
        <w:numPr>
          <w:ilvl w:val="1"/>
          <w:numId w:val="7"/>
        </w:numPr>
        <w:spacing w:after="20"/>
        <w:jc w:val="both"/>
        <w:rPr>
          <w:rFonts w:ascii="Times New Roman" w:hAnsi="Times New Roman" w:cs="Times New Roman"/>
          <w:sz w:val="22"/>
          <w:szCs w:val="22"/>
        </w:rPr>
      </w:pPr>
      <w:r w:rsidRPr="00C66F5B">
        <w:rPr>
          <w:rFonts w:ascii="Times New Roman" w:hAnsi="Times New Roman" w:cs="Times New Roman"/>
          <w:sz w:val="22"/>
          <w:szCs w:val="22"/>
        </w:rPr>
        <w:t xml:space="preserve">Audit functions; </w:t>
      </w:r>
    </w:p>
    <w:p w:rsidR="00C66F5B" w:rsidRPr="00C66F5B" w:rsidRDefault="00C66F5B" w:rsidP="00A454BA">
      <w:pPr>
        <w:pStyle w:val="Default"/>
        <w:numPr>
          <w:ilvl w:val="1"/>
          <w:numId w:val="7"/>
        </w:numPr>
        <w:spacing w:after="20"/>
        <w:jc w:val="both"/>
        <w:rPr>
          <w:rFonts w:ascii="Times New Roman" w:hAnsi="Times New Roman" w:cs="Times New Roman"/>
          <w:sz w:val="22"/>
          <w:szCs w:val="22"/>
        </w:rPr>
      </w:pPr>
      <w:r w:rsidRPr="00C66F5B">
        <w:rPr>
          <w:rFonts w:ascii="Times New Roman" w:hAnsi="Times New Roman" w:cs="Times New Roman"/>
          <w:sz w:val="22"/>
          <w:szCs w:val="22"/>
        </w:rPr>
        <w:t xml:space="preserve">General legal services functions; and </w:t>
      </w:r>
    </w:p>
    <w:p w:rsidR="00C66F5B" w:rsidRPr="00C66F5B" w:rsidRDefault="00C66F5B" w:rsidP="00A454BA">
      <w:pPr>
        <w:pStyle w:val="Default"/>
        <w:numPr>
          <w:ilvl w:val="1"/>
          <w:numId w:val="7"/>
        </w:numPr>
        <w:jc w:val="both"/>
        <w:rPr>
          <w:rFonts w:ascii="Times New Roman" w:hAnsi="Times New Roman" w:cs="Times New Roman"/>
          <w:sz w:val="22"/>
          <w:szCs w:val="22"/>
        </w:rPr>
      </w:pPr>
      <w:r w:rsidRPr="00C66F5B">
        <w:rPr>
          <w:rFonts w:ascii="Times New Roman" w:hAnsi="Times New Roman" w:cs="Times New Roman"/>
          <w:sz w:val="22"/>
          <w:szCs w:val="22"/>
        </w:rPr>
        <w:t xml:space="preserve">Fiscal agent responsibilities; </w:t>
      </w:r>
    </w:p>
    <w:p w:rsidR="00C66F5B" w:rsidRDefault="00C66F5B" w:rsidP="00A454BA">
      <w:pPr>
        <w:pStyle w:val="Default"/>
        <w:numPr>
          <w:ilvl w:val="0"/>
          <w:numId w:val="7"/>
        </w:numPr>
        <w:spacing w:after="37"/>
        <w:jc w:val="both"/>
        <w:rPr>
          <w:rFonts w:ascii="Times New Roman" w:hAnsi="Times New Roman" w:cs="Times New Roman"/>
          <w:sz w:val="22"/>
          <w:szCs w:val="22"/>
        </w:rPr>
      </w:pPr>
      <w:r w:rsidRPr="00C66F5B">
        <w:rPr>
          <w:rFonts w:ascii="Times New Roman" w:hAnsi="Times New Roman" w:cs="Times New Roman"/>
          <w:sz w:val="22"/>
          <w:szCs w:val="22"/>
        </w:rPr>
        <w:t>Performing oversight and monitoring responsibilities related to WIOA adminis</w:t>
      </w:r>
      <w:r>
        <w:rPr>
          <w:rFonts w:ascii="Times New Roman" w:hAnsi="Times New Roman" w:cs="Times New Roman"/>
          <w:sz w:val="22"/>
          <w:szCs w:val="22"/>
        </w:rPr>
        <w:t>trative functions;</w:t>
      </w:r>
    </w:p>
    <w:p w:rsidR="00A24959" w:rsidRDefault="00C66F5B" w:rsidP="00A454BA">
      <w:pPr>
        <w:pStyle w:val="Default"/>
        <w:numPr>
          <w:ilvl w:val="0"/>
          <w:numId w:val="7"/>
        </w:numPr>
        <w:spacing w:after="37"/>
        <w:jc w:val="both"/>
        <w:rPr>
          <w:rFonts w:ascii="Times New Roman" w:hAnsi="Times New Roman" w:cs="Times New Roman"/>
          <w:sz w:val="22"/>
          <w:szCs w:val="22"/>
        </w:rPr>
      </w:pPr>
      <w:r w:rsidRPr="00C66F5B">
        <w:rPr>
          <w:rFonts w:ascii="Times New Roman" w:hAnsi="Times New Roman" w:cs="Times New Roman"/>
          <w:sz w:val="22"/>
          <w:szCs w:val="22"/>
        </w:rPr>
        <w:t xml:space="preserve">Costs of goods and services required for administrative functions of the program, including goods and services such as rental or purchase of equipment, utilities, office supplies, postage, and rental and maintenance of office space; </w:t>
      </w:r>
    </w:p>
    <w:p w:rsidR="00A24959" w:rsidRDefault="00C66F5B" w:rsidP="00A454BA">
      <w:pPr>
        <w:pStyle w:val="Default"/>
        <w:numPr>
          <w:ilvl w:val="0"/>
          <w:numId w:val="7"/>
        </w:numPr>
        <w:spacing w:after="37"/>
        <w:jc w:val="both"/>
        <w:rPr>
          <w:rFonts w:ascii="Times New Roman" w:hAnsi="Times New Roman" w:cs="Times New Roman"/>
          <w:sz w:val="22"/>
          <w:szCs w:val="22"/>
        </w:rPr>
      </w:pPr>
      <w:r w:rsidRPr="00A24959">
        <w:rPr>
          <w:rFonts w:ascii="Times New Roman" w:hAnsi="Times New Roman" w:cs="Times New Roman"/>
          <w:sz w:val="22"/>
          <w:szCs w:val="22"/>
        </w:rPr>
        <w:t xml:space="preserve">Travel costs incurred for official business in carrying out administrative activities or the overall management of the WIOA system; and </w:t>
      </w:r>
    </w:p>
    <w:p w:rsidR="00C66F5B" w:rsidRPr="00A24959" w:rsidRDefault="00C66F5B" w:rsidP="00A454BA">
      <w:pPr>
        <w:pStyle w:val="Default"/>
        <w:numPr>
          <w:ilvl w:val="0"/>
          <w:numId w:val="7"/>
        </w:numPr>
        <w:spacing w:after="37"/>
        <w:jc w:val="both"/>
        <w:rPr>
          <w:rFonts w:ascii="Times New Roman" w:hAnsi="Times New Roman" w:cs="Times New Roman"/>
          <w:sz w:val="22"/>
          <w:szCs w:val="22"/>
        </w:rPr>
      </w:pPr>
      <w:r w:rsidRPr="00A24959">
        <w:rPr>
          <w:rFonts w:ascii="Times New Roman" w:hAnsi="Times New Roman" w:cs="Times New Roman"/>
          <w:sz w:val="22"/>
          <w:szCs w:val="22"/>
        </w:rPr>
        <w:t>Costs of information systems related to administrative functions (for example, personnel, procurement, purchasing, property management, accounting and payroll systems) including the purchase, systems development and o</w:t>
      </w:r>
      <w:r w:rsidR="00FD273E">
        <w:rPr>
          <w:rFonts w:ascii="Times New Roman" w:hAnsi="Times New Roman" w:cs="Times New Roman"/>
          <w:sz w:val="22"/>
          <w:szCs w:val="22"/>
        </w:rPr>
        <w:t>perating costs of such systems.</w:t>
      </w:r>
      <w:r w:rsidR="00FD273E">
        <w:rPr>
          <w:rStyle w:val="FootnoteReference"/>
          <w:rFonts w:ascii="Times New Roman" w:hAnsi="Times New Roman" w:cs="Times New Roman"/>
          <w:sz w:val="22"/>
          <w:szCs w:val="22"/>
        </w:rPr>
        <w:footnoteReference w:id="2"/>
      </w:r>
      <w:r w:rsidRPr="00A24959">
        <w:rPr>
          <w:rFonts w:ascii="Times New Roman" w:hAnsi="Times New Roman" w:cs="Times New Roman"/>
          <w:sz w:val="22"/>
          <w:szCs w:val="22"/>
        </w:rPr>
        <w:t xml:space="preserve"> </w:t>
      </w:r>
    </w:p>
    <w:p w:rsidR="00A24959" w:rsidRPr="001E5A01" w:rsidRDefault="00A24959" w:rsidP="00A454BA">
      <w:pPr>
        <w:spacing w:after="0" w:line="240" w:lineRule="auto"/>
        <w:jc w:val="both"/>
        <w:rPr>
          <w:rFonts w:cs="Times New Roman"/>
          <w:sz w:val="23"/>
          <w:szCs w:val="23"/>
        </w:rPr>
      </w:pPr>
    </w:p>
    <w:p w:rsidR="001E5A01" w:rsidRPr="001E5A01" w:rsidRDefault="00A24959" w:rsidP="00A454BA">
      <w:pPr>
        <w:pStyle w:val="Default"/>
        <w:jc w:val="both"/>
        <w:rPr>
          <w:rFonts w:ascii="Times New Roman" w:hAnsi="Times New Roman" w:cs="Times New Roman"/>
          <w:color w:val="auto"/>
          <w:sz w:val="23"/>
          <w:szCs w:val="23"/>
        </w:rPr>
      </w:pPr>
      <w:r w:rsidRPr="001E5A01">
        <w:rPr>
          <w:rFonts w:ascii="Times New Roman" w:hAnsi="Times New Roman" w:cs="Times New Roman"/>
          <w:color w:val="auto"/>
          <w:sz w:val="23"/>
          <w:szCs w:val="23"/>
        </w:rPr>
        <w:t>These costs can be both personnel and non-personnel, and both direct and indirect.</w:t>
      </w:r>
      <w:r w:rsidR="001E5A01" w:rsidRPr="001E5A01">
        <w:rPr>
          <w:rFonts w:ascii="Times New Roman" w:hAnsi="Times New Roman" w:cs="Times New Roman"/>
          <w:color w:val="auto"/>
          <w:sz w:val="23"/>
          <w:szCs w:val="23"/>
        </w:rPr>
        <w:t xml:space="preserve"> </w:t>
      </w:r>
    </w:p>
    <w:p w:rsidR="00DA155F" w:rsidRPr="00C06578" w:rsidRDefault="00DA155F" w:rsidP="00A454BA">
      <w:pPr>
        <w:pStyle w:val="Default"/>
        <w:jc w:val="both"/>
        <w:rPr>
          <w:rFonts w:ascii="Times New Roman" w:hAnsi="Times New Roman" w:cs="Times New Roman"/>
          <w:sz w:val="22"/>
          <w:szCs w:val="22"/>
        </w:rPr>
      </w:pPr>
    </w:p>
    <w:p w:rsidR="00817949" w:rsidRPr="001E5A01" w:rsidRDefault="00817949" w:rsidP="00A454BA">
      <w:pPr>
        <w:spacing w:after="0" w:line="240" w:lineRule="auto"/>
        <w:jc w:val="both"/>
        <w:rPr>
          <w:rFonts w:eastAsia="+mn-ea" w:cs="Times New Roman"/>
          <w:bCs/>
          <w:color w:val="00607F"/>
          <w:kern w:val="24"/>
          <w:sz w:val="28"/>
          <w:szCs w:val="28"/>
        </w:rPr>
      </w:pPr>
      <w:r w:rsidRPr="001E5A01">
        <w:rPr>
          <w:rFonts w:eastAsia="+mn-ea" w:cs="Times New Roman"/>
          <w:bCs/>
          <w:color w:val="00607F"/>
          <w:kern w:val="24"/>
          <w:sz w:val="28"/>
          <w:szCs w:val="28"/>
        </w:rPr>
        <w:t xml:space="preserve">Activities that can be Administrative, Programmatic, or Both </w:t>
      </w:r>
    </w:p>
    <w:p w:rsidR="00817949" w:rsidRPr="001E5A01" w:rsidRDefault="00817949" w:rsidP="00A454BA">
      <w:pPr>
        <w:pStyle w:val="Default"/>
        <w:jc w:val="both"/>
        <w:rPr>
          <w:rFonts w:ascii="Times New Roman" w:hAnsi="Times New Roman" w:cs="Times New Roman"/>
          <w:sz w:val="23"/>
          <w:szCs w:val="23"/>
        </w:rPr>
      </w:pPr>
      <w:r w:rsidRPr="001E5A01">
        <w:rPr>
          <w:rFonts w:ascii="Times New Roman" w:hAnsi="Times New Roman" w:cs="Times New Roman"/>
          <w:sz w:val="23"/>
          <w:szCs w:val="23"/>
        </w:rPr>
        <w:t xml:space="preserve">Awards to </w:t>
      </w:r>
      <w:proofErr w:type="spellStart"/>
      <w:r w:rsidRPr="001E5A01">
        <w:rPr>
          <w:rFonts w:ascii="Times New Roman" w:hAnsi="Times New Roman" w:cs="Times New Roman"/>
          <w:sz w:val="23"/>
          <w:szCs w:val="23"/>
        </w:rPr>
        <w:t>subrecipients</w:t>
      </w:r>
      <w:proofErr w:type="spellEnd"/>
      <w:r w:rsidRPr="001E5A01">
        <w:rPr>
          <w:rFonts w:ascii="Times New Roman" w:hAnsi="Times New Roman" w:cs="Times New Roman"/>
          <w:sz w:val="23"/>
          <w:szCs w:val="23"/>
        </w:rPr>
        <w:t xml:space="preserve"> or contractors that are solely for the performance of administrative functions are clas</w:t>
      </w:r>
      <w:r w:rsidR="00FD273E">
        <w:rPr>
          <w:rFonts w:ascii="Times New Roman" w:hAnsi="Times New Roman" w:cs="Times New Roman"/>
          <w:sz w:val="23"/>
          <w:szCs w:val="23"/>
        </w:rPr>
        <w:t>sified as administrative costs.</w:t>
      </w:r>
      <w:r w:rsidR="00FD273E">
        <w:rPr>
          <w:rStyle w:val="FootnoteReference"/>
          <w:rFonts w:ascii="Times New Roman" w:hAnsi="Times New Roman" w:cs="Times New Roman"/>
          <w:sz w:val="23"/>
          <w:szCs w:val="23"/>
        </w:rPr>
        <w:footnoteReference w:id="3"/>
      </w:r>
      <w:r w:rsidRPr="001E5A01">
        <w:rPr>
          <w:rFonts w:ascii="Times New Roman" w:hAnsi="Times New Roman" w:cs="Times New Roman"/>
          <w:sz w:val="23"/>
          <w:szCs w:val="23"/>
        </w:rPr>
        <w:t xml:space="preserve"> </w:t>
      </w:r>
    </w:p>
    <w:p w:rsidR="001E5A01" w:rsidRPr="001E5A01" w:rsidRDefault="001E5A01" w:rsidP="00A454BA">
      <w:pPr>
        <w:pStyle w:val="Default"/>
        <w:jc w:val="both"/>
        <w:rPr>
          <w:rFonts w:ascii="Times New Roman" w:hAnsi="Times New Roman" w:cs="Times New Roman"/>
          <w:sz w:val="23"/>
          <w:szCs w:val="23"/>
        </w:rPr>
      </w:pPr>
    </w:p>
    <w:p w:rsidR="00817949" w:rsidRPr="001E5A01" w:rsidRDefault="00817949" w:rsidP="00A454BA">
      <w:pPr>
        <w:spacing w:after="0" w:line="240" w:lineRule="auto"/>
        <w:jc w:val="both"/>
        <w:rPr>
          <w:rFonts w:eastAsia="+mn-ea" w:cs="Times New Roman"/>
          <w:bCs/>
          <w:color w:val="00607F"/>
          <w:kern w:val="24"/>
          <w:sz w:val="28"/>
          <w:szCs w:val="28"/>
        </w:rPr>
      </w:pPr>
      <w:r w:rsidRPr="001E5A01">
        <w:rPr>
          <w:rFonts w:cs="Times New Roman"/>
          <w:sz w:val="23"/>
          <w:szCs w:val="23"/>
        </w:rPr>
        <w:t>Personnel and related non-personnel costs of staff that perform both administrative functions specified in 20 CFR § 683.215(b) (the bulleted list above) and programmatic services or activities must be allocated as administrative or program costs to the</w:t>
      </w:r>
      <w:r w:rsidR="001E5A01" w:rsidRPr="001E5A01">
        <w:rPr>
          <w:sz w:val="23"/>
          <w:szCs w:val="23"/>
        </w:rPr>
        <w:t xml:space="preserve"> </w:t>
      </w:r>
      <w:r w:rsidR="001E5A01">
        <w:rPr>
          <w:sz w:val="23"/>
          <w:szCs w:val="23"/>
        </w:rPr>
        <w:t>benefitting cost objectives/categories based on documented distributions of actual time worked or other equ</w:t>
      </w:r>
      <w:r w:rsidR="00FD273E">
        <w:rPr>
          <w:sz w:val="23"/>
          <w:szCs w:val="23"/>
        </w:rPr>
        <w:t>itable cost allocation methods.</w:t>
      </w:r>
      <w:r w:rsidR="00FD273E">
        <w:rPr>
          <w:rStyle w:val="FootnoteReference"/>
          <w:sz w:val="23"/>
          <w:szCs w:val="23"/>
        </w:rPr>
        <w:footnoteReference w:id="4"/>
      </w:r>
    </w:p>
    <w:p w:rsidR="00817949" w:rsidRDefault="00817949" w:rsidP="00A454BA">
      <w:pPr>
        <w:spacing w:after="0" w:line="240" w:lineRule="auto"/>
        <w:jc w:val="both"/>
        <w:rPr>
          <w:rFonts w:eastAsia="+mn-ea" w:cs="Times New Roman"/>
          <w:bCs/>
          <w:color w:val="00607F"/>
          <w:kern w:val="24"/>
          <w:sz w:val="28"/>
          <w:szCs w:val="28"/>
        </w:rPr>
      </w:pPr>
    </w:p>
    <w:p w:rsidR="00817949" w:rsidRDefault="001E5A01" w:rsidP="00A454BA">
      <w:pPr>
        <w:spacing w:after="0" w:line="240" w:lineRule="auto"/>
        <w:jc w:val="both"/>
        <w:rPr>
          <w:rFonts w:eastAsia="+mn-ea" w:cs="Times New Roman"/>
          <w:bCs/>
          <w:color w:val="00607F"/>
          <w:kern w:val="24"/>
          <w:sz w:val="28"/>
          <w:szCs w:val="28"/>
        </w:rPr>
      </w:pPr>
      <w:r>
        <w:rPr>
          <w:sz w:val="23"/>
          <w:szCs w:val="23"/>
        </w:rPr>
        <w:t>Specific costs charged to an overhead or indirect cost pool that can be identified directly as a program cost are to be charged as a program cost. Documentation of such charges must be maintained.</w:t>
      </w:r>
      <w:r w:rsidR="00FD273E">
        <w:rPr>
          <w:rStyle w:val="FootnoteReference"/>
          <w:sz w:val="23"/>
          <w:szCs w:val="23"/>
        </w:rPr>
        <w:footnoteReference w:id="5"/>
      </w:r>
      <w:r>
        <w:rPr>
          <w:sz w:val="16"/>
          <w:szCs w:val="16"/>
        </w:rPr>
        <w:t xml:space="preserve"> </w:t>
      </w:r>
      <w:r>
        <w:rPr>
          <w:sz w:val="23"/>
          <w:szCs w:val="23"/>
        </w:rPr>
        <w:t>These charges are most commonly found on invoices and accounts payable documents.</w:t>
      </w:r>
    </w:p>
    <w:p w:rsidR="00817949" w:rsidRDefault="00817949" w:rsidP="00A454BA">
      <w:pPr>
        <w:spacing w:after="0" w:line="240" w:lineRule="auto"/>
        <w:jc w:val="both"/>
        <w:rPr>
          <w:rFonts w:eastAsia="+mn-ea" w:cs="Times New Roman"/>
          <w:bCs/>
          <w:color w:val="00607F"/>
          <w:kern w:val="24"/>
          <w:sz w:val="28"/>
          <w:szCs w:val="28"/>
        </w:rPr>
      </w:pPr>
    </w:p>
    <w:p w:rsidR="00817949" w:rsidRDefault="00002F99" w:rsidP="00A454BA">
      <w:pPr>
        <w:spacing w:after="0" w:line="240" w:lineRule="auto"/>
        <w:jc w:val="both"/>
        <w:rPr>
          <w:rFonts w:eastAsia="+mn-ea" w:cs="Times New Roman"/>
          <w:bCs/>
          <w:color w:val="00607F"/>
          <w:kern w:val="24"/>
          <w:sz w:val="28"/>
          <w:szCs w:val="28"/>
        </w:rPr>
      </w:pPr>
      <w:r>
        <w:rPr>
          <w:sz w:val="23"/>
          <w:szCs w:val="23"/>
        </w:rPr>
        <w:lastRenderedPageBreak/>
        <w:t>Except for awards to local area</w:t>
      </w:r>
      <w:r w:rsidR="001E5A01">
        <w:rPr>
          <w:sz w:val="23"/>
          <w:szCs w:val="23"/>
        </w:rPr>
        <w:t xml:space="preserve"> or contractors that are solely for the performance of administrative functions, all costs incurred for functions and activities of </w:t>
      </w:r>
      <w:proofErr w:type="spellStart"/>
      <w:r w:rsidR="001E5A01">
        <w:rPr>
          <w:sz w:val="23"/>
          <w:szCs w:val="23"/>
        </w:rPr>
        <w:t>subrecipients</w:t>
      </w:r>
      <w:proofErr w:type="spellEnd"/>
      <w:r w:rsidR="001E5A01">
        <w:rPr>
          <w:sz w:val="23"/>
          <w:szCs w:val="23"/>
        </w:rPr>
        <w:t xml:space="preserve"> (other than a </w:t>
      </w:r>
      <w:proofErr w:type="spellStart"/>
      <w:r w:rsidR="001E5A01">
        <w:rPr>
          <w:sz w:val="23"/>
          <w:szCs w:val="23"/>
        </w:rPr>
        <w:t>subrecipient</w:t>
      </w:r>
      <w:proofErr w:type="spellEnd"/>
      <w:r w:rsidR="001E5A01">
        <w:rPr>
          <w:sz w:val="23"/>
          <w:szCs w:val="23"/>
        </w:rPr>
        <w:t xml:space="preserve"> appointed pursuant to 107(d</w:t>
      </w:r>
      <w:proofErr w:type="gramStart"/>
      <w:r w:rsidR="001E5A01">
        <w:rPr>
          <w:sz w:val="23"/>
          <w:szCs w:val="23"/>
        </w:rPr>
        <w:t>)(</w:t>
      </w:r>
      <w:proofErr w:type="gramEnd"/>
      <w:r w:rsidR="001E5A01">
        <w:rPr>
          <w:sz w:val="23"/>
          <w:szCs w:val="23"/>
        </w:rPr>
        <w:t>12)(B)(</w:t>
      </w:r>
      <w:proofErr w:type="spellStart"/>
      <w:r w:rsidR="001E5A01">
        <w:rPr>
          <w:sz w:val="23"/>
          <w:szCs w:val="23"/>
        </w:rPr>
        <w:t>i</w:t>
      </w:r>
      <w:proofErr w:type="spellEnd"/>
      <w:r w:rsidR="001E5A01">
        <w:rPr>
          <w:sz w:val="23"/>
          <w:szCs w:val="23"/>
        </w:rPr>
        <w:t>)(II)) and</w:t>
      </w:r>
      <w:r w:rsidR="00FD273E">
        <w:rPr>
          <w:sz w:val="23"/>
          <w:szCs w:val="23"/>
        </w:rPr>
        <w:t xml:space="preserve"> contractors are program costs.</w:t>
      </w:r>
      <w:r w:rsidR="00FD273E">
        <w:rPr>
          <w:rStyle w:val="FootnoteReference"/>
          <w:sz w:val="23"/>
          <w:szCs w:val="23"/>
        </w:rPr>
        <w:footnoteReference w:id="6"/>
      </w:r>
    </w:p>
    <w:p w:rsidR="00817949" w:rsidRDefault="00817949" w:rsidP="00A454BA">
      <w:pPr>
        <w:spacing w:after="0" w:line="240" w:lineRule="auto"/>
        <w:jc w:val="both"/>
        <w:rPr>
          <w:rFonts w:eastAsia="+mn-ea" w:cs="Times New Roman"/>
          <w:bCs/>
          <w:color w:val="00607F"/>
          <w:kern w:val="24"/>
          <w:sz w:val="28"/>
          <w:szCs w:val="28"/>
        </w:rPr>
      </w:pPr>
    </w:p>
    <w:p w:rsidR="00817949" w:rsidRDefault="001E5A01" w:rsidP="00A454BA">
      <w:pPr>
        <w:spacing w:after="0" w:line="240" w:lineRule="auto"/>
        <w:jc w:val="both"/>
        <w:rPr>
          <w:rFonts w:eastAsia="+mn-ea" w:cs="Times New Roman"/>
          <w:bCs/>
          <w:color w:val="00607F"/>
          <w:kern w:val="24"/>
          <w:sz w:val="28"/>
          <w:szCs w:val="28"/>
        </w:rPr>
      </w:pPr>
      <w:r>
        <w:rPr>
          <w:sz w:val="23"/>
          <w:szCs w:val="23"/>
        </w:rPr>
        <w:t>Continuous improvement activities are charged to the administration or program category based on the purpose or nature of the activity to be improved</w:t>
      </w:r>
      <w:r w:rsidR="00FD273E">
        <w:rPr>
          <w:sz w:val="23"/>
          <w:szCs w:val="23"/>
        </w:rPr>
        <w:t>.</w:t>
      </w:r>
      <w:r w:rsidR="00FD273E">
        <w:rPr>
          <w:rStyle w:val="FootnoteReference"/>
          <w:sz w:val="23"/>
          <w:szCs w:val="23"/>
        </w:rPr>
        <w:footnoteReference w:id="7"/>
      </w:r>
    </w:p>
    <w:p w:rsidR="00817949" w:rsidRDefault="00817949" w:rsidP="00A454BA">
      <w:pPr>
        <w:spacing w:after="0" w:line="240" w:lineRule="auto"/>
        <w:jc w:val="both"/>
        <w:rPr>
          <w:rFonts w:eastAsia="+mn-ea" w:cs="Times New Roman"/>
          <w:bCs/>
          <w:color w:val="00607F"/>
          <w:kern w:val="24"/>
          <w:sz w:val="28"/>
          <w:szCs w:val="28"/>
        </w:rPr>
      </w:pPr>
    </w:p>
    <w:p w:rsidR="001E5A01" w:rsidRPr="001E5A01" w:rsidRDefault="001E5A01" w:rsidP="00A454BA">
      <w:pPr>
        <w:spacing w:after="0" w:line="240" w:lineRule="auto"/>
        <w:jc w:val="both"/>
        <w:rPr>
          <w:sz w:val="23"/>
          <w:szCs w:val="23"/>
        </w:rPr>
      </w:pPr>
      <w:r w:rsidRPr="001E5A01">
        <w:rPr>
          <w:sz w:val="23"/>
          <w:szCs w:val="23"/>
        </w:rPr>
        <w:t xml:space="preserve">Costs of the following information systems including the purchase, systems development, and operational cost (e.g. data entry) are charged to the program category: </w:t>
      </w:r>
    </w:p>
    <w:p w:rsidR="001E5A01" w:rsidRPr="001E5A01" w:rsidRDefault="001E5A01" w:rsidP="00A454BA">
      <w:pPr>
        <w:pStyle w:val="ListParagraph"/>
        <w:numPr>
          <w:ilvl w:val="0"/>
          <w:numId w:val="10"/>
        </w:numPr>
        <w:spacing w:after="0" w:line="240" w:lineRule="auto"/>
        <w:jc w:val="both"/>
        <w:rPr>
          <w:sz w:val="23"/>
          <w:szCs w:val="23"/>
        </w:rPr>
      </w:pPr>
      <w:r w:rsidRPr="001E5A01">
        <w:rPr>
          <w:sz w:val="23"/>
          <w:szCs w:val="23"/>
        </w:rPr>
        <w:t xml:space="preserve">Tracking and monitoring of participant and performance information; </w:t>
      </w:r>
    </w:p>
    <w:p w:rsidR="001E5A01" w:rsidRPr="001E5A01" w:rsidRDefault="001E5A01" w:rsidP="00A454BA">
      <w:pPr>
        <w:pStyle w:val="ListParagraph"/>
        <w:numPr>
          <w:ilvl w:val="0"/>
          <w:numId w:val="10"/>
        </w:numPr>
        <w:spacing w:after="0" w:line="240" w:lineRule="auto"/>
        <w:jc w:val="both"/>
        <w:rPr>
          <w:sz w:val="23"/>
          <w:szCs w:val="23"/>
        </w:rPr>
      </w:pPr>
      <w:r w:rsidRPr="001E5A01">
        <w:rPr>
          <w:sz w:val="23"/>
          <w:szCs w:val="23"/>
        </w:rPr>
        <w:t xml:space="preserve">Employment statistics information, including job listing information, job skills information, and demand occupation information; </w:t>
      </w:r>
    </w:p>
    <w:p w:rsidR="001E5A01" w:rsidRPr="001E5A01" w:rsidRDefault="001E5A01" w:rsidP="00A454BA">
      <w:pPr>
        <w:pStyle w:val="ListParagraph"/>
        <w:numPr>
          <w:ilvl w:val="0"/>
          <w:numId w:val="10"/>
        </w:numPr>
        <w:spacing w:after="0" w:line="240" w:lineRule="auto"/>
        <w:jc w:val="both"/>
        <w:rPr>
          <w:sz w:val="23"/>
          <w:szCs w:val="23"/>
        </w:rPr>
      </w:pPr>
      <w:r w:rsidRPr="001E5A01">
        <w:rPr>
          <w:sz w:val="23"/>
          <w:szCs w:val="23"/>
        </w:rPr>
        <w:t xml:space="preserve">Performance and program cost information on eligible providers of training services, youth activities, and appropriate education activities; </w:t>
      </w:r>
    </w:p>
    <w:p w:rsidR="001E5A01" w:rsidRPr="001E5A01" w:rsidRDefault="001E5A01" w:rsidP="00A454BA">
      <w:pPr>
        <w:pStyle w:val="ListParagraph"/>
        <w:numPr>
          <w:ilvl w:val="0"/>
          <w:numId w:val="10"/>
        </w:numPr>
        <w:spacing w:after="0" w:line="240" w:lineRule="auto"/>
        <w:jc w:val="both"/>
        <w:rPr>
          <w:sz w:val="23"/>
          <w:szCs w:val="23"/>
        </w:rPr>
      </w:pPr>
      <w:r w:rsidRPr="001E5A01">
        <w:rPr>
          <w:sz w:val="23"/>
          <w:szCs w:val="23"/>
        </w:rPr>
        <w:t xml:space="preserve">Local area performance information; and </w:t>
      </w:r>
    </w:p>
    <w:p w:rsidR="001E5A01" w:rsidRPr="001E5A01" w:rsidRDefault="001E5A01" w:rsidP="00A454BA">
      <w:pPr>
        <w:pStyle w:val="ListParagraph"/>
        <w:numPr>
          <w:ilvl w:val="0"/>
          <w:numId w:val="10"/>
        </w:numPr>
        <w:spacing w:after="0" w:line="240" w:lineRule="auto"/>
        <w:jc w:val="both"/>
        <w:rPr>
          <w:sz w:val="23"/>
          <w:szCs w:val="23"/>
        </w:rPr>
      </w:pPr>
      <w:r w:rsidRPr="001E5A01">
        <w:rPr>
          <w:sz w:val="23"/>
          <w:szCs w:val="23"/>
        </w:rPr>
        <w:t>Information relating to supportive services and unemployment insurance cl</w:t>
      </w:r>
      <w:r w:rsidR="00FD273E">
        <w:rPr>
          <w:sz w:val="23"/>
          <w:szCs w:val="23"/>
        </w:rPr>
        <w:t>aims for program participants.</w:t>
      </w:r>
      <w:r w:rsidR="00FD273E">
        <w:rPr>
          <w:rStyle w:val="FootnoteReference"/>
          <w:sz w:val="23"/>
          <w:szCs w:val="23"/>
        </w:rPr>
        <w:footnoteReference w:id="8"/>
      </w:r>
      <w:r w:rsidRPr="001E5A01">
        <w:rPr>
          <w:sz w:val="23"/>
          <w:szCs w:val="23"/>
        </w:rPr>
        <w:t xml:space="preserve"> </w:t>
      </w:r>
    </w:p>
    <w:p w:rsidR="001E5A01" w:rsidRDefault="001E5A01" w:rsidP="00A454BA">
      <w:pPr>
        <w:spacing w:after="0" w:line="240" w:lineRule="auto"/>
        <w:jc w:val="both"/>
        <w:rPr>
          <w:sz w:val="23"/>
          <w:szCs w:val="23"/>
        </w:rPr>
      </w:pPr>
    </w:p>
    <w:p w:rsidR="00817949" w:rsidRPr="001E5A01" w:rsidRDefault="001E5A01" w:rsidP="00A454BA">
      <w:pPr>
        <w:spacing w:after="0" w:line="240" w:lineRule="auto"/>
        <w:jc w:val="both"/>
        <w:rPr>
          <w:rFonts w:eastAsia="+mn-ea" w:cs="Times New Roman"/>
          <w:bCs/>
          <w:color w:val="00607F"/>
          <w:kern w:val="24"/>
          <w:sz w:val="28"/>
          <w:szCs w:val="28"/>
        </w:rPr>
      </w:pPr>
      <w:r w:rsidRPr="001E5A01">
        <w:rPr>
          <w:rFonts w:eastAsia="+mn-ea" w:cs="Times New Roman"/>
          <w:bCs/>
          <w:color w:val="00607F"/>
          <w:kern w:val="24"/>
          <w:sz w:val="28"/>
          <w:szCs w:val="28"/>
        </w:rPr>
        <w:t>Streamlining</w:t>
      </w:r>
    </w:p>
    <w:p w:rsidR="00817949" w:rsidRPr="001E5A01" w:rsidRDefault="00002F99" w:rsidP="00A454BA">
      <w:pPr>
        <w:spacing w:after="0" w:line="240" w:lineRule="auto"/>
        <w:jc w:val="both"/>
        <w:rPr>
          <w:sz w:val="23"/>
          <w:szCs w:val="23"/>
        </w:rPr>
      </w:pPr>
      <w:r>
        <w:rPr>
          <w:sz w:val="23"/>
          <w:szCs w:val="23"/>
        </w:rPr>
        <w:t>Where possible the local a</w:t>
      </w:r>
      <w:r w:rsidR="001E5A01" w:rsidRPr="001E5A01">
        <w:rPr>
          <w:sz w:val="23"/>
          <w:szCs w:val="23"/>
        </w:rPr>
        <w:t xml:space="preserve">rea makes </w:t>
      </w:r>
      <w:r w:rsidR="001E5A01">
        <w:rPr>
          <w:sz w:val="23"/>
          <w:szCs w:val="23"/>
        </w:rPr>
        <w:t>every effort</w:t>
      </w:r>
      <w:r w:rsidR="001E5A01" w:rsidRPr="001E5A01">
        <w:rPr>
          <w:sz w:val="23"/>
          <w:szCs w:val="23"/>
        </w:rPr>
        <w:t xml:space="preserve"> to streamline services in order to reduce administrative cost by minimizing duplication and effectively using information technology to improve services.</w:t>
      </w:r>
    </w:p>
    <w:p w:rsidR="00817949" w:rsidRDefault="00817949" w:rsidP="00A454BA">
      <w:pPr>
        <w:spacing w:after="0" w:line="240" w:lineRule="auto"/>
        <w:jc w:val="both"/>
        <w:rPr>
          <w:rFonts w:eastAsia="+mn-ea" w:cs="Times New Roman"/>
          <w:bCs/>
          <w:color w:val="00607F"/>
          <w:kern w:val="24"/>
          <w:sz w:val="28"/>
          <w:szCs w:val="28"/>
        </w:rPr>
      </w:pPr>
    </w:p>
    <w:p w:rsidR="001E5A01" w:rsidRPr="001E5A01" w:rsidRDefault="001E5A01" w:rsidP="00A454BA">
      <w:pPr>
        <w:spacing w:after="0" w:line="240" w:lineRule="auto"/>
        <w:jc w:val="both"/>
        <w:rPr>
          <w:rFonts w:eastAsia="+mn-ea" w:cs="Times New Roman"/>
          <w:bCs/>
          <w:color w:val="00607F"/>
          <w:kern w:val="24"/>
          <w:sz w:val="28"/>
          <w:szCs w:val="28"/>
        </w:rPr>
      </w:pPr>
      <w:r w:rsidRPr="001E5A01">
        <w:rPr>
          <w:rFonts w:eastAsia="+mn-ea" w:cs="Times New Roman"/>
          <w:bCs/>
          <w:color w:val="00607F"/>
          <w:kern w:val="24"/>
          <w:sz w:val="28"/>
          <w:szCs w:val="28"/>
        </w:rPr>
        <w:t xml:space="preserve">Direct &amp; Indirect Costs under the Uniform Guidance </w:t>
      </w:r>
    </w:p>
    <w:p w:rsidR="00817949" w:rsidRDefault="001E5A01" w:rsidP="00A454BA">
      <w:pPr>
        <w:spacing w:after="0" w:line="240" w:lineRule="auto"/>
        <w:jc w:val="both"/>
        <w:rPr>
          <w:rFonts w:eastAsia="+mn-ea" w:cs="Times New Roman"/>
          <w:bCs/>
          <w:color w:val="00607F"/>
          <w:kern w:val="24"/>
          <w:sz w:val="28"/>
          <w:szCs w:val="28"/>
        </w:rPr>
      </w:pPr>
      <w:r>
        <w:rPr>
          <w:sz w:val="23"/>
          <w:szCs w:val="23"/>
        </w:rPr>
        <w:t>Identification with the federal award rather than the nature of the goods and services involved is the determining factor in distinguishing direct from indirect</w:t>
      </w:r>
      <w:r w:rsidR="00AA3652">
        <w:rPr>
          <w:sz w:val="23"/>
          <w:szCs w:val="23"/>
        </w:rPr>
        <w:t xml:space="preserve"> Facilities and Administration</w:t>
      </w:r>
      <w:r>
        <w:rPr>
          <w:sz w:val="23"/>
          <w:szCs w:val="23"/>
        </w:rPr>
        <w:t xml:space="preserve"> (</w:t>
      </w:r>
      <w:bookmarkStart w:id="0" w:name="_GoBack"/>
      <w:r>
        <w:rPr>
          <w:sz w:val="23"/>
          <w:szCs w:val="23"/>
        </w:rPr>
        <w:t>F&amp;A</w:t>
      </w:r>
      <w:bookmarkEnd w:id="0"/>
      <w:r>
        <w:rPr>
          <w:sz w:val="23"/>
          <w:szCs w:val="23"/>
        </w:rPr>
        <w:t>) costs of federal awards. Typical costs charged directly to a federal award are the compensation of employees who work on that award, their related fringe benefit costs, the costs of materials and other items of expense incurred for the federal award. If directly related to a specific award, certain costs that otherwise would be treated as indirect costs may also</w:t>
      </w:r>
      <w:r w:rsidRPr="001E5A01">
        <w:rPr>
          <w:sz w:val="23"/>
          <w:szCs w:val="23"/>
        </w:rPr>
        <w:t xml:space="preserve"> </w:t>
      </w:r>
      <w:r>
        <w:rPr>
          <w:sz w:val="23"/>
          <w:szCs w:val="23"/>
        </w:rPr>
        <w:t>include extraordinary utility consumption, the cost of materials supplied from stock or services rendered by specialized facilities or other institutional service operations.</w:t>
      </w:r>
      <w:r w:rsidR="00FD273E">
        <w:rPr>
          <w:rStyle w:val="FootnoteReference"/>
          <w:sz w:val="23"/>
          <w:szCs w:val="23"/>
        </w:rPr>
        <w:footnoteReference w:id="9"/>
      </w:r>
      <w:r>
        <w:rPr>
          <w:sz w:val="16"/>
          <w:szCs w:val="16"/>
        </w:rPr>
        <w:t xml:space="preserve"> </w:t>
      </w:r>
      <w:r>
        <w:rPr>
          <w:sz w:val="23"/>
          <w:szCs w:val="23"/>
        </w:rPr>
        <w:t>Administrative costs are allowable when they are included in the approved budget or have prior approval by the federal awarding agency.</w:t>
      </w:r>
    </w:p>
    <w:p w:rsidR="00817949" w:rsidRDefault="00817949" w:rsidP="00A454BA">
      <w:pPr>
        <w:spacing w:after="0" w:line="240" w:lineRule="auto"/>
        <w:jc w:val="both"/>
        <w:rPr>
          <w:rFonts w:eastAsia="+mn-ea" w:cs="Times New Roman"/>
          <w:bCs/>
          <w:color w:val="00607F"/>
          <w:kern w:val="24"/>
          <w:sz w:val="28"/>
          <w:szCs w:val="28"/>
        </w:rPr>
      </w:pPr>
    </w:p>
    <w:p w:rsidR="001E5A01" w:rsidRDefault="001E5A01" w:rsidP="00A454BA">
      <w:pPr>
        <w:spacing w:after="0" w:line="240" w:lineRule="auto"/>
        <w:jc w:val="both"/>
        <w:rPr>
          <w:rFonts w:eastAsia="+mn-ea" w:cs="Times New Roman"/>
          <w:bCs/>
          <w:color w:val="00607F"/>
          <w:kern w:val="24"/>
          <w:sz w:val="28"/>
          <w:szCs w:val="28"/>
        </w:rPr>
      </w:pPr>
      <w:r>
        <w:rPr>
          <w:sz w:val="23"/>
          <w:szCs w:val="23"/>
        </w:rPr>
        <w:t>There is no universal rule for classifying certain costs as either direct or indirect (F&amp;A) under every accounting system. A cost may be direct with respect to some specific service or function, but indirect with respect to the federal award or other final cost objective. Therefore, it is essential that each item of cost incurred for the same purpose be treated consistently in like circumstances either as a direct or an indirect (F&amp;A) cost in order to avoid possible double-charging of federal awards.</w:t>
      </w:r>
      <w:r w:rsidR="00FD273E">
        <w:rPr>
          <w:rStyle w:val="FootnoteReference"/>
          <w:sz w:val="23"/>
          <w:szCs w:val="23"/>
        </w:rPr>
        <w:footnoteReference w:id="10"/>
      </w:r>
      <w:r>
        <w:rPr>
          <w:sz w:val="16"/>
          <w:szCs w:val="16"/>
        </w:rPr>
        <w:t xml:space="preserve"> </w:t>
      </w:r>
      <w:r>
        <w:rPr>
          <w:sz w:val="23"/>
          <w:szCs w:val="23"/>
        </w:rPr>
        <w:t xml:space="preserve">Costs incurred </w:t>
      </w:r>
      <w:r>
        <w:rPr>
          <w:sz w:val="23"/>
          <w:szCs w:val="23"/>
        </w:rPr>
        <w:lastRenderedPageBreak/>
        <w:t>for the same purpose in like circumstances must be treated consistently as either direct or indirect (F&amp;A) costs.</w:t>
      </w:r>
      <w:r w:rsidR="00FD273E">
        <w:rPr>
          <w:rStyle w:val="FootnoteReference"/>
          <w:sz w:val="23"/>
          <w:szCs w:val="23"/>
        </w:rPr>
        <w:footnoteReference w:id="11"/>
      </w:r>
    </w:p>
    <w:p w:rsidR="00817949" w:rsidRDefault="00817949" w:rsidP="00A454BA">
      <w:pPr>
        <w:spacing w:after="0" w:line="240" w:lineRule="auto"/>
        <w:jc w:val="both"/>
        <w:rPr>
          <w:rFonts w:eastAsia="+mn-ea" w:cs="Times New Roman"/>
          <w:bCs/>
          <w:color w:val="00607F"/>
          <w:kern w:val="24"/>
          <w:sz w:val="28"/>
          <w:szCs w:val="28"/>
        </w:rPr>
      </w:pPr>
    </w:p>
    <w:p w:rsidR="001E5A01" w:rsidRPr="00A454BA" w:rsidRDefault="001E5A01" w:rsidP="00A454BA">
      <w:pPr>
        <w:pStyle w:val="Default"/>
        <w:jc w:val="both"/>
        <w:rPr>
          <w:rFonts w:ascii="Times New Roman" w:eastAsia="+mn-ea" w:hAnsi="Times New Roman" w:cs="Times New Roman"/>
          <w:bCs/>
          <w:color w:val="00607F"/>
          <w:kern w:val="24"/>
          <w:sz w:val="28"/>
          <w:szCs w:val="28"/>
        </w:rPr>
      </w:pPr>
      <w:r w:rsidRPr="00A454BA">
        <w:rPr>
          <w:rFonts w:ascii="Times New Roman" w:eastAsia="+mn-ea" w:hAnsi="Times New Roman" w:cs="Times New Roman"/>
          <w:bCs/>
          <w:color w:val="00607F"/>
          <w:kern w:val="24"/>
          <w:sz w:val="28"/>
          <w:szCs w:val="28"/>
        </w:rPr>
        <w:t xml:space="preserve">Administrative Costs may be Associated with Direct Costs </w:t>
      </w:r>
    </w:p>
    <w:p w:rsidR="001E5A01" w:rsidRPr="00A454BA" w:rsidRDefault="001E5A01" w:rsidP="00A454BA">
      <w:pPr>
        <w:pStyle w:val="Default"/>
        <w:jc w:val="both"/>
        <w:rPr>
          <w:rFonts w:ascii="Times New Roman" w:hAnsi="Times New Roman" w:cs="Times New Roman"/>
          <w:sz w:val="22"/>
          <w:szCs w:val="22"/>
        </w:rPr>
      </w:pPr>
      <w:r w:rsidRPr="00A454BA">
        <w:rPr>
          <w:rFonts w:ascii="Times New Roman" w:hAnsi="Times New Roman" w:cs="Times New Roman"/>
          <w:sz w:val="22"/>
          <w:szCs w:val="22"/>
        </w:rPr>
        <w:t>Direct costs are those costs that can be specifically identified to a federal award, project, or activity; or that can be directly assigned to such activities relatively easily w</w:t>
      </w:r>
      <w:r w:rsidR="00FD273E">
        <w:rPr>
          <w:rFonts w:ascii="Times New Roman" w:hAnsi="Times New Roman" w:cs="Times New Roman"/>
          <w:sz w:val="22"/>
          <w:szCs w:val="22"/>
        </w:rPr>
        <w:t>ith a high degree of accuracy.</w:t>
      </w:r>
      <w:r w:rsidR="00FD273E">
        <w:rPr>
          <w:rStyle w:val="FootnoteReference"/>
          <w:rFonts w:ascii="Times New Roman" w:hAnsi="Times New Roman" w:cs="Times New Roman"/>
          <w:sz w:val="22"/>
          <w:szCs w:val="22"/>
        </w:rPr>
        <w:footnoteReference w:id="12"/>
      </w:r>
      <w:r w:rsidRPr="00A454BA">
        <w:rPr>
          <w:rFonts w:ascii="Times New Roman" w:hAnsi="Times New Roman" w:cs="Times New Roman"/>
          <w:sz w:val="22"/>
          <w:szCs w:val="22"/>
        </w:rPr>
        <w:t xml:space="preserve"> Examples of direct costs include direct labor and related fringe benefit cost, direct material, supplies, consul</w:t>
      </w:r>
      <w:r w:rsidR="00FD273E">
        <w:rPr>
          <w:rFonts w:ascii="Times New Roman" w:hAnsi="Times New Roman" w:cs="Times New Roman"/>
          <w:sz w:val="22"/>
          <w:szCs w:val="22"/>
        </w:rPr>
        <w:t>tants, sub-awards, and travel.</w:t>
      </w:r>
      <w:r w:rsidR="00FD273E">
        <w:rPr>
          <w:rStyle w:val="FootnoteReference"/>
          <w:rFonts w:ascii="Times New Roman" w:hAnsi="Times New Roman" w:cs="Times New Roman"/>
          <w:sz w:val="22"/>
          <w:szCs w:val="22"/>
        </w:rPr>
        <w:footnoteReference w:id="13"/>
      </w:r>
      <w:r w:rsidRPr="00A454BA">
        <w:rPr>
          <w:rFonts w:ascii="Times New Roman" w:hAnsi="Times New Roman" w:cs="Times New Roman"/>
          <w:sz w:val="22"/>
          <w:szCs w:val="22"/>
        </w:rPr>
        <w:t xml:space="preserve"> </w:t>
      </w:r>
    </w:p>
    <w:p w:rsidR="00A454BA" w:rsidRPr="00A454BA" w:rsidRDefault="00A454BA" w:rsidP="00A454BA">
      <w:pPr>
        <w:pStyle w:val="Default"/>
        <w:jc w:val="both"/>
        <w:rPr>
          <w:rFonts w:ascii="Times New Roman" w:hAnsi="Times New Roman" w:cs="Times New Roman"/>
          <w:sz w:val="22"/>
          <w:szCs w:val="22"/>
        </w:rPr>
      </w:pPr>
    </w:p>
    <w:p w:rsidR="001E5A01" w:rsidRPr="00A454BA" w:rsidRDefault="001E5A01" w:rsidP="00A454BA">
      <w:pPr>
        <w:pStyle w:val="Default"/>
        <w:jc w:val="both"/>
        <w:rPr>
          <w:rFonts w:ascii="Times New Roman" w:hAnsi="Times New Roman" w:cs="Times New Roman"/>
          <w:sz w:val="22"/>
          <w:szCs w:val="22"/>
        </w:rPr>
      </w:pPr>
      <w:r w:rsidRPr="00A454BA">
        <w:rPr>
          <w:rFonts w:ascii="Times New Roman" w:hAnsi="Times New Roman" w:cs="Times New Roman"/>
          <w:sz w:val="22"/>
          <w:szCs w:val="22"/>
        </w:rPr>
        <w:t xml:space="preserve">The salaries of administrative and clerical staff should normally be treated as indirect (facilities &amp; administrative (F&amp;A)) costs. Direct charging of these costs may be appropriate only if all of the following conditions are met: </w:t>
      </w:r>
    </w:p>
    <w:p w:rsidR="00A454BA" w:rsidRPr="00A454BA" w:rsidRDefault="00A454BA" w:rsidP="00A454BA">
      <w:pPr>
        <w:pStyle w:val="Default"/>
        <w:jc w:val="both"/>
        <w:rPr>
          <w:rFonts w:ascii="Times New Roman" w:hAnsi="Times New Roman" w:cs="Times New Roman"/>
          <w:sz w:val="22"/>
          <w:szCs w:val="22"/>
        </w:rPr>
      </w:pPr>
    </w:p>
    <w:p w:rsidR="001E5A01" w:rsidRPr="00A454BA" w:rsidRDefault="001E5A01" w:rsidP="00A454BA">
      <w:pPr>
        <w:pStyle w:val="Default"/>
        <w:numPr>
          <w:ilvl w:val="0"/>
          <w:numId w:val="10"/>
        </w:numPr>
        <w:spacing w:after="36"/>
        <w:jc w:val="both"/>
        <w:rPr>
          <w:rFonts w:ascii="Times New Roman" w:hAnsi="Times New Roman" w:cs="Times New Roman"/>
          <w:sz w:val="22"/>
          <w:szCs w:val="22"/>
        </w:rPr>
      </w:pPr>
      <w:r w:rsidRPr="00A454BA">
        <w:rPr>
          <w:rFonts w:ascii="Times New Roman" w:hAnsi="Times New Roman" w:cs="Times New Roman"/>
          <w:sz w:val="22"/>
          <w:szCs w:val="22"/>
        </w:rPr>
        <w:t xml:space="preserve">Administrative or clerical services are integral to a project or activity; </w:t>
      </w:r>
    </w:p>
    <w:p w:rsidR="001E5A01" w:rsidRPr="00A454BA" w:rsidRDefault="001E5A01" w:rsidP="00A454BA">
      <w:pPr>
        <w:pStyle w:val="Default"/>
        <w:numPr>
          <w:ilvl w:val="0"/>
          <w:numId w:val="10"/>
        </w:numPr>
        <w:spacing w:after="36"/>
        <w:jc w:val="both"/>
        <w:rPr>
          <w:rFonts w:ascii="Times New Roman" w:hAnsi="Times New Roman" w:cs="Times New Roman"/>
          <w:sz w:val="22"/>
          <w:szCs w:val="22"/>
        </w:rPr>
      </w:pPr>
      <w:r w:rsidRPr="00A454BA">
        <w:rPr>
          <w:rFonts w:ascii="Times New Roman" w:hAnsi="Times New Roman" w:cs="Times New Roman"/>
          <w:sz w:val="22"/>
          <w:szCs w:val="22"/>
        </w:rPr>
        <w:t xml:space="preserve">Individuals involved can be specifically identified with the project or activity; </w:t>
      </w:r>
    </w:p>
    <w:p w:rsidR="001E5A01" w:rsidRPr="00A454BA" w:rsidRDefault="001E5A01" w:rsidP="00A454BA">
      <w:pPr>
        <w:pStyle w:val="Default"/>
        <w:numPr>
          <w:ilvl w:val="0"/>
          <w:numId w:val="10"/>
        </w:numPr>
        <w:spacing w:after="36"/>
        <w:jc w:val="both"/>
        <w:rPr>
          <w:rFonts w:ascii="Times New Roman" w:hAnsi="Times New Roman" w:cs="Times New Roman"/>
          <w:sz w:val="22"/>
          <w:szCs w:val="22"/>
        </w:rPr>
      </w:pPr>
      <w:r w:rsidRPr="00A454BA">
        <w:rPr>
          <w:rFonts w:ascii="Times New Roman" w:hAnsi="Times New Roman" w:cs="Times New Roman"/>
          <w:sz w:val="22"/>
          <w:szCs w:val="22"/>
        </w:rPr>
        <w:t xml:space="preserve">Such costs are explicitly included in the budget or have the prior written approval of the federal awarding agency; and </w:t>
      </w:r>
    </w:p>
    <w:p w:rsidR="001E5A01" w:rsidRPr="00A454BA" w:rsidRDefault="001E5A01" w:rsidP="00A454BA">
      <w:pPr>
        <w:pStyle w:val="Default"/>
        <w:numPr>
          <w:ilvl w:val="0"/>
          <w:numId w:val="10"/>
        </w:numPr>
        <w:jc w:val="both"/>
        <w:rPr>
          <w:rFonts w:ascii="Times New Roman" w:hAnsi="Times New Roman" w:cs="Times New Roman"/>
          <w:sz w:val="22"/>
          <w:szCs w:val="22"/>
        </w:rPr>
      </w:pPr>
      <w:r w:rsidRPr="00A454BA">
        <w:rPr>
          <w:rFonts w:ascii="Times New Roman" w:hAnsi="Times New Roman" w:cs="Times New Roman"/>
          <w:sz w:val="22"/>
          <w:szCs w:val="22"/>
        </w:rPr>
        <w:t>The costs are not also</w:t>
      </w:r>
      <w:r w:rsidR="00FD273E">
        <w:rPr>
          <w:rFonts w:ascii="Times New Roman" w:hAnsi="Times New Roman" w:cs="Times New Roman"/>
          <w:sz w:val="22"/>
          <w:szCs w:val="22"/>
        </w:rPr>
        <w:t xml:space="preserve"> recovered as indirect costs.</w:t>
      </w:r>
      <w:r w:rsidR="00FD273E">
        <w:rPr>
          <w:rStyle w:val="FootnoteReference"/>
          <w:rFonts w:ascii="Times New Roman" w:hAnsi="Times New Roman" w:cs="Times New Roman"/>
          <w:sz w:val="22"/>
          <w:szCs w:val="22"/>
        </w:rPr>
        <w:footnoteReference w:id="14"/>
      </w:r>
    </w:p>
    <w:p w:rsidR="00817949" w:rsidRDefault="00817949" w:rsidP="00A454BA">
      <w:pPr>
        <w:spacing w:after="0" w:line="240" w:lineRule="auto"/>
        <w:jc w:val="both"/>
        <w:rPr>
          <w:rFonts w:eastAsia="+mn-ea" w:cs="Times New Roman"/>
          <w:bCs/>
          <w:color w:val="00607F"/>
          <w:kern w:val="24"/>
          <w:sz w:val="28"/>
          <w:szCs w:val="28"/>
        </w:rPr>
      </w:pPr>
    </w:p>
    <w:p w:rsidR="00A454BA" w:rsidRPr="00A454BA" w:rsidRDefault="00A454BA" w:rsidP="00A454BA">
      <w:pPr>
        <w:pStyle w:val="Default"/>
        <w:jc w:val="both"/>
        <w:rPr>
          <w:rFonts w:ascii="Times New Roman" w:eastAsia="+mn-ea" w:hAnsi="Times New Roman" w:cs="Times New Roman"/>
          <w:bCs/>
          <w:color w:val="00607F"/>
          <w:kern w:val="24"/>
          <w:sz w:val="28"/>
          <w:szCs w:val="28"/>
        </w:rPr>
      </w:pPr>
      <w:r w:rsidRPr="00A454BA">
        <w:rPr>
          <w:rFonts w:ascii="Times New Roman" w:eastAsia="+mn-ea" w:hAnsi="Times New Roman" w:cs="Times New Roman"/>
          <w:bCs/>
          <w:color w:val="00607F"/>
          <w:kern w:val="24"/>
          <w:sz w:val="28"/>
          <w:szCs w:val="28"/>
        </w:rPr>
        <w:t xml:space="preserve">Administrative Costs may be Associated with Indirect Costs </w:t>
      </w:r>
    </w:p>
    <w:p w:rsidR="00A454BA" w:rsidRDefault="00A454BA" w:rsidP="00A454BA">
      <w:pPr>
        <w:pStyle w:val="Default"/>
        <w:jc w:val="both"/>
        <w:rPr>
          <w:rFonts w:ascii="Times New Roman" w:hAnsi="Times New Roman" w:cs="Times New Roman"/>
          <w:sz w:val="23"/>
          <w:szCs w:val="23"/>
        </w:rPr>
      </w:pPr>
      <w:r w:rsidRPr="00A454BA">
        <w:rPr>
          <w:rFonts w:ascii="Times New Roman" w:hAnsi="Times New Roman" w:cs="Times New Roman"/>
          <w:sz w:val="23"/>
          <w:szCs w:val="23"/>
        </w:rPr>
        <w:t>The Uniform Guidance provides that indirect (F&amp;A) costs means those costs incurred for a common or joint purpose benefitting more than one cost objective, and not readily assignable to the cost objectives specifically benefitted, without effort disproportionate to the results achieved. To facilitate equitable distribution of indirect expenses to the cost objectives served, it may be necessary to establish a number of pools of indirect (F&amp;A) costs. Indirect (F&amp;A) cost pools must be distributed to benefitted cost objectives on bases that will produce an equitable result in consideration</w:t>
      </w:r>
      <w:r w:rsidR="00FD273E">
        <w:rPr>
          <w:rFonts w:ascii="Times New Roman" w:hAnsi="Times New Roman" w:cs="Times New Roman"/>
          <w:sz w:val="23"/>
          <w:szCs w:val="23"/>
        </w:rPr>
        <w:t xml:space="preserve"> of relative benefits derived.</w:t>
      </w:r>
      <w:r w:rsidR="00FD273E">
        <w:rPr>
          <w:rStyle w:val="FootnoteReference"/>
          <w:rFonts w:ascii="Times New Roman" w:hAnsi="Times New Roman" w:cs="Times New Roman"/>
          <w:sz w:val="23"/>
          <w:szCs w:val="23"/>
        </w:rPr>
        <w:footnoteReference w:id="15"/>
      </w:r>
      <w:r w:rsidRPr="00A454BA">
        <w:rPr>
          <w:rFonts w:ascii="Times New Roman" w:hAnsi="Times New Roman" w:cs="Times New Roman"/>
          <w:sz w:val="23"/>
          <w:szCs w:val="23"/>
        </w:rPr>
        <w:t xml:space="preserve"> </w:t>
      </w:r>
    </w:p>
    <w:p w:rsidR="00A454BA" w:rsidRPr="00A454BA" w:rsidRDefault="00A454BA" w:rsidP="00A454BA">
      <w:pPr>
        <w:pStyle w:val="Default"/>
        <w:jc w:val="both"/>
        <w:rPr>
          <w:rFonts w:ascii="Times New Roman" w:hAnsi="Times New Roman" w:cs="Times New Roman"/>
          <w:sz w:val="23"/>
          <w:szCs w:val="23"/>
        </w:rPr>
      </w:pPr>
    </w:p>
    <w:p w:rsidR="00817949" w:rsidRPr="00A454BA" w:rsidRDefault="00A454BA" w:rsidP="00A454BA">
      <w:pPr>
        <w:spacing w:after="0" w:line="240" w:lineRule="auto"/>
        <w:jc w:val="both"/>
        <w:rPr>
          <w:rFonts w:eastAsia="+mn-ea" w:cs="Times New Roman"/>
          <w:bCs/>
          <w:color w:val="00607F"/>
          <w:kern w:val="24"/>
          <w:sz w:val="28"/>
          <w:szCs w:val="28"/>
        </w:rPr>
      </w:pPr>
      <w:r w:rsidRPr="00A454BA">
        <w:rPr>
          <w:rFonts w:cs="Times New Roman"/>
          <w:sz w:val="23"/>
          <w:szCs w:val="23"/>
        </w:rPr>
        <w:t>Indirect costs are costs not directly identified with a single final cost objective (grant), but instead relate to two or more final cost objectives/grants.</w:t>
      </w:r>
      <w:r w:rsidR="00FD273E">
        <w:rPr>
          <w:rStyle w:val="FootnoteReference"/>
          <w:rFonts w:cs="Times New Roman"/>
          <w:sz w:val="23"/>
          <w:szCs w:val="23"/>
        </w:rPr>
        <w:footnoteReference w:id="16"/>
      </w:r>
      <w:r w:rsidRPr="00A454BA">
        <w:rPr>
          <w:rFonts w:cs="Times New Roman"/>
          <w:sz w:val="16"/>
          <w:szCs w:val="16"/>
        </w:rPr>
        <w:t xml:space="preserve"> </w:t>
      </w:r>
      <w:r w:rsidRPr="00A454BA">
        <w:rPr>
          <w:rFonts w:cs="Times New Roman"/>
          <w:sz w:val="23"/>
          <w:szCs w:val="23"/>
        </w:rPr>
        <w:t>Such costs cannot be economically traced to each grant so they must be placed in a cost pool to be allocated on a causal-beneficial basis to the final cost objective or grant.</w:t>
      </w:r>
    </w:p>
    <w:p w:rsidR="00817949" w:rsidRDefault="00817949" w:rsidP="00A454BA">
      <w:pPr>
        <w:spacing w:after="0" w:line="240" w:lineRule="auto"/>
        <w:jc w:val="both"/>
        <w:rPr>
          <w:rFonts w:eastAsia="+mn-ea" w:cs="Times New Roman"/>
          <w:bCs/>
          <w:color w:val="00607F"/>
          <w:kern w:val="24"/>
          <w:sz w:val="28"/>
          <w:szCs w:val="28"/>
        </w:rPr>
      </w:pPr>
    </w:p>
    <w:p w:rsidR="00A454BA" w:rsidRPr="00A454BA" w:rsidRDefault="00A454BA" w:rsidP="00A454BA">
      <w:pPr>
        <w:pStyle w:val="Default"/>
        <w:jc w:val="both"/>
        <w:rPr>
          <w:rFonts w:ascii="Times New Roman" w:eastAsia="+mn-ea" w:hAnsi="Times New Roman" w:cs="Times New Roman"/>
          <w:bCs/>
          <w:color w:val="00607F"/>
          <w:kern w:val="24"/>
          <w:sz w:val="28"/>
          <w:szCs w:val="28"/>
        </w:rPr>
      </w:pPr>
      <w:r w:rsidRPr="00A454BA">
        <w:rPr>
          <w:rFonts w:ascii="Times New Roman" w:eastAsia="+mn-ea" w:hAnsi="Times New Roman" w:cs="Times New Roman"/>
          <w:bCs/>
          <w:color w:val="00607F"/>
          <w:kern w:val="24"/>
          <w:sz w:val="28"/>
          <w:szCs w:val="28"/>
        </w:rPr>
        <w:t xml:space="preserve">One-Stop Administrative Cost Limits </w:t>
      </w:r>
    </w:p>
    <w:p w:rsidR="00A454BA" w:rsidRDefault="00A454BA" w:rsidP="00A454BA">
      <w:pPr>
        <w:pStyle w:val="Default"/>
        <w:jc w:val="both"/>
        <w:rPr>
          <w:rFonts w:ascii="Times New Roman" w:hAnsi="Times New Roman" w:cs="Times New Roman"/>
          <w:color w:val="auto"/>
          <w:sz w:val="23"/>
          <w:szCs w:val="23"/>
        </w:rPr>
      </w:pPr>
      <w:r w:rsidRPr="00A454BA">
        <w:rPr>
          <w:rFonts w:ascii="Times New Roman" w:hAnsi="Times New Roman" w:cs="Times New Roman"/>
          <w:color w:val="auto"/>
          <w:sz w:val="23"/>
          <w:szCs w:val="23"/>
        </w:rPr>
        <w:t>In a One-Stop environment, administrative costs borne by other sources of funds, such as the Wagner-</w:t>
      </w:r>
      <w:proofErr w:type="spellStart"/>
      <w:r w:rsidRPr="00A454BA">
        <w:rPr>
          <w:rFonts w:ascii="Times New Roman" w:hAnsi="Times New Roman" w:cs="Times New Roman"/>
          <w:color w:val="auto"/>
          <w:sz w:val="23"/>
          <w:szCs w:val="23"/>
        </w:rPr>
        <w:t>Peyser</w:t>
      </w:r>
      <w:proofErr w:type="spellEnd"/>
      <w:r w:rsidRPr="00A454BA">
        <w:rPr>
          <w:rFonts w:ascii="Times New Roman" w:hAnsi="Times New Roman" w:cs="Times New Roman"/>
          <w:color w:val="auto"/>
          <w:sz w:val="23"/>
          <w:szCs w:val="23"/>
        </w:rPr>
        <w:t xml:space="preserve"> Act, are not included in the administrative cost limit calculation. Each program’s administrative activities are chargeable to its own grant and subject to its administrative c</w:t>
      </w:r>
      <w:r w:rsidR="00FD273E">
        <w:rPr>
          <w:rFonts w:ascii="Times New Roman" w:hAnsi="Times New Roman" w:cs="Times New Roman"/>
          <w:color w:val="auto"/>
          <w:sz w:val="23"/>
          <w:szCs w:val="23"/>
        </w:rPr>
        <w:t>ost limitations.</w:t>
      </w:r>
      <w:r w:rsidR="00FD273E">
        <w:rPr>
          <w:rStyle w:val="FootnoteReference"/>
          <w:rFonts w:ascii="Times New Roman" w:hAnsi="Times New Roman" w:cs="Times New Roman"/>
          <w:color w:val="auto"/>
          <w:sz w:val="23"/>
          <w:szCs w:val="23"/>
        </w:rPr>
        <w:footnoteReference w:id="17"/>
      </w:r>
      <w:r w:rsidRPr="00A454BA">
        <w:rPr>
          <w:rFonts w:ascii="Times New Roman" w:hAnsi="Times New Roman" w:cs="Times New Roman"/>
          <w:color w:val="auto"/>
          <w:sz w:val="23"/>
          <w:szCs w:val="23"/>
        </w:rPr>
        <w:t xml:space="preserve"> </w:t>
      </w:r>
    </w:p>
    <w:p w:rsidR="00A454BA" w:rsidRPr="00A454BA" w:rsidRDefault="00A454BA" w:rsidP="00A454BA">
      <w:pPr>
        <w:pStyle w:val="Default"/>
        <w:jc w:val="both"/>
        <w:rPr>
          <w:rFonts w:ascii="Times New Roman" w:hAnsi="Times New Roman" w:cs="Times New Roman"/>
          <w:color w:val="auto"/>
          <w:sz w:val="23"/>
          <w:szCs w:val="23"/>
        </w:rPr>
      </w:pPr>
    </w:p>
    <w:p w:rsidR="00A454BA" w:rsidRDefault="00A454BA" w:rsidP="00A454BA">
      <w:pPr>
        <w:spacing w:after="0" w:line="240" w:lineRule="auto"/>
        <w:jc w:val="both"/>
        <w:rPr>
          <w:rFonts w:eastAsia="+mn-ea" w:cs="Times New Roman"/>
          <w:bCs/>
          <w:color w:val="00607F"/>
          <w:kern w:val="24"/>
          <w:sz w:val="28"/>
          <w:szCs w:val="28"/>
        </w:rPr>
      </w:pPr>
      <w:r>
        <w:rPr>
          <w:sz w:val="23"/>
          <w:szCs w:val="23"/>
        </w:rPr>
        <w:t>The costs of negotiating a memorandum of understanding or infrastructure agreement under Title I of WIOA are excluded from ad</w:t>
      </w:r>
      <w:r w:rsidR="00FD273E">
        <w:rPr>
          <w:sz w:val="23"/>
          <w:szCs w:val="23"/>
        </w:rPr>
        <w:t>ministrative cost limitations.</w:t>
      </w:r>
      <w:r w:rsidR="00FD273E">
        <w:rPr>
          <w:rStyle w:val="FootnoteReference"/>
          <w:sz w:val="23"/>
          <w:szCs w:val="23"/>
        </w:rPr>
        <w:footnoteReference w:id="18"/>
      </w:r>
    </w:p>
    <w:p w:rsidR="00750CEC" w:rsidRPr="00685C25" w:rsidRDefault="00750CEC" w:rsidP="00A454BA">
      <w:pPr>
        <w:spacing w:after="0" w:line="240" w:lineRule="auto"/>
        <w:jc w:val="both"/>
        <w:rPr>
          <w:rFonts w:eastAsia="Times New Roman" w:cs="Times New Roman"/>
        </w:rPr>
      </w:pPr>
    </w:p>
    <w:p w:rsidR="00685C25" w:rsidRPr="00685C25" w:rsidRDefault="00685C25" w:rsidP="00A454BA">
      <w:pPr>
        <w:spacing w:after="0" w:line="240" w:lineRule="auto"/>
        <w:jc w:val="both"/>
        <w:rPr>
          <w:rFonts w:eastAsia="+mn-ea" w:cs="Times New Roman"/>
          <w:b/>
          <w:bCs/>
          <w:color w:val="00607F"/>
          <w:kern w:val="24"/>
          <w:sz w:val="28"/>
          <w:szCs w:val="28"/>
          <w:u w:val="single"/>
        </w:rPr>
      </w:pPr>
      <w:r w:rsidRPr="00685C25">
        <w:rPr>
          <w:rFonts w:eastAsia="+mn-ea" w:cs="Times New Roman"/>
          <w:b/>
          <w:bCs/>
          <w:color w:val="00607F"/>
          <w:kern w:val="24"/>
          <w:sz w:val="28"/>
          <w:szCs w:val="28"/>
          <w:u w:val="single"/>
        </w:rPr>
        <w:t>Disclaimer</w:t>
      </w:r>
    </w:p>
    <w:p w:rsidR="00685C25" w:rsidRPr="00685C25" w:rsidRDefault="00685C25" w:rsidP="00A454BA">
      <w:pPr>
        <w:spacing w:after="0" w:line="240" w:lineRule="auto"/>
        <w:jc w:val="both"/>
        <w:rPr>
          <w:rFonts w:eastAsia="Times New Roman" w:cs="Times New Roman"/>
        </w:rPr>
      </w:pPr>
      <w:r w:rsidRPr="00685C25">
        <w:rPr>
          <w:rFonts w:eastAsia="Times New Roman" w:cs="Times New Roman"/>
        </w:rPr>
        <w:t>This policy is based on Greater Nebraska’s reading of the applicable statutes, regulations, rules and guidance released by the U.S. Government and the State of Nebraska.  This policy is subject to change as revised or additional statutes, regulations, rules and guidance are issued.</w:t>
      </w:r>
    </w:p>
    <w:p w:rsidR="00EA508E" w:rsidRDefault="00EA508E"/>
    <w:sectPr w:rsidR="00EA508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BD1" w:rsidRDefault="00E54BD1" w:rsidP="00E54BD1">
      <w:pPr>
        <w:spacing w:after="0" w:line="240" w:lineRule="auto"/>
      </w:pPr>
      <w:r>
        <w:separator/>
      </w:r>
    </w:p>
  </w:endnote>
  <w:endnote w:type="continuationSeparator" w:id="0">
    <w:p w:rsidR="00E54BD1" w:rsidRDefault="00E54BD1" w:rsidP="00E54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n-ea">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8650107"/>
      <w:docPartObj>
        <w:docPartGallery w:val="Page Numbers (Bottom of Page)"/>
        <w:docPartUnique/>
      </w:docPartObj>
    </w:sdtPr>
    <w:sdtEndPr/>
    <w:sdtContent>
      <w:sdt>
        <w:sdtPr>
          <w:id w:val="-1769616900"/>
          <w:docPartObj>
            <w:docPartGallery w:val="Page Numbers (Top of Page)"/>
            <w:docPartUnique/>
          </w:docPartObj>
        </w:sdtPr>
        <w:sdtEndPr/>
        <w:sdtContent>
          <w:p w:rsidR="009D2F91" w:rsidRDefault="009D2F91">
            <w:pPr>
              <w:pStyle w:val="Footer"/>
              <w:jc w:val="right"/>
            </w:pPr>
            <w:r w:rsidRPr="009D2F91">
              <w:rPr>
                <w:sz w:val="20"/>
                <w:szCs w:val="20"/>
              </w:rPr>
              <w:t xml:space="preserve">Page </w:t>
            </w:r>
            <w:r w:rsidRPr="009D2F91">
              <w:rPr>
                <w:b/>
                <w:bCs/>
                <w:sz w:val="20"/>
                <w:szCs w:val="20"/>
              </w:rPr>
              <w:fldChar w:fldCharType="begin"/>
            </w:r>
            <w:r w:rsidRPr="009D2F91">
              <w:rPr>
                <w:b/>
                <w:bCs/>
                <w:sz w:val="20"/>
                <w:szCs w:val="20"/>
              </w:rPr>
              <w:instrText xml:space="preserve"> PAGE </w:instrText>
            </w:r>
            <w:r w:rsidRPr="009D2F91">
              <w:rPr>
                <w:b/>
                <w:bCs/>
                <w:sz w:val="20"/>
                <w:szCs w:val="20"/>
              </w:rPr>
              <w:fldChar w:fldCharType="separate"/>
            </w:r>
            <w:r w:rsidR="00AA3652">
              <w:rPr>
                <w:b/>
                <w:bCs/>
                <w:noProof/>
                <w:sz w:val="20"/>
                <w:szCs w:val="20"/>
              </w:rPr>
              <w:t>5</w:t>
            </w:r>
            <w:r w:rsidRPr="009D2F91">
              <w:rPr>
                <w:b/>
                <w:bCs/>
                <w:sz w:val="20"/>
                <w:szCs w:val="20"/>
              </w:rPr>
              <w:fldChar w:fldCharType="end"/>
            </w:r>
            <w:r w:rsidRPr="009D2F91">
              <w:rPr>
                <w:sz w:val="20"/>
                <w:szCs w:val="20"/>
              </w:rPr>
              <w:t xml:space="preserve"> of </w:t>
            </w:r>
            <w:r w:rsidRPr="009D2F91">
              <w:rPr>
                <w:b/>
                <w:bCs/>
                <w:sz w:val="20"/>
                <w:szCs w:val="20"/>
              </w:rPr>
              <w:fldChar w:fldCharType="begin"/>
            </w:r>
            <w:r w:rsidRPr="009D2F91">
              <w:rPr>
                <w:b/>
                <w:bCs/>
                <w:sz w:val="20"/>
                <w:szCs w:val="20"/>
              </w:rPr>
              <w:instrText xml:space="preserve"> NUMPAGES  </w:instrText>
            </w:r>
            <w:r w:rsidRPr="009D2F91">
              <w:rPr>
                <w:b/>
                <w:bCs/>
                <w:sz w:val="20"/>
                <w:szCs w:val="20"/>
              </w:rPr>
              <w:fldChar w:fldCharType="separate"/>
            </w:r>
            <w:r w:rsidR="00AA3652">
              <w:rPr>
                <w:b/>
                <w:bCs/>
                <w:noProof/>
                <w:sz w:val="20"/>
                <w:szCs w:val="20"/>
              </w:rPr>
              <w:t>5</w:t>
            </w:r>
            <w:r w:rsidRPr="009D2F91">
              <w:rPr>
                <w:b/>
                <w:bCs/>
                <w:sz w:val="20"/>
                <w:szCs w:val="20"/>
              </w:rPr>
              <w:fldChar w:fldCharType="end"/>
            </w:r>
          </w:p>
        </w:sdtContent>
      </w:sdt>
    </w:sdtContent>
  </w:sdt>
  <w:p w:rsidR="009D2F91" w:rsidRDefault="009D2F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BD1" w:rsidRDefault="00E54BD1" w:rsidP="00E54BD1">
      <w:pPr>
        <w:spacing w:after="0" w:line="240" w:lineRule="auto"/>
      </w:pPr>
      <w:r>
        <w:separator/>
      </w:r>
    </w:p>
  </w:footnote>
  <w:footnote w:type="continuationSeparator" w:id="0">
    <w:p w:rsidR="00E54BD1" w:rsidRDefault="00E54BD1" w:rsidP="00E54BD1">
      <w:pPr>
        <w:spacing w:after="0" w:line="240" w:lineRule="auto"/>
      </w:pPr>
      <w:r>
        <w:continuationSeparator/>
      </w:r>
    </w:p>
  </w:footnote>
  <w:footnote w:id="1">
    <w:p w:rsidR="00FD273E" w:rsidRPr="00BE63EB" w:rsidRDefault="00FD273E" w:rsidP="00FD273E">
      <w:pPr>
        <w:pStyle w:val="Default"/>
        <w:rPr>
          <w:rFonts w:ascii="Times New Roman" w:hAnsi="Times New Roman" w:cs="Times New Roman"/>
        </w:rPr>
      </w:pPr>
      <w:r w:rsidRPr="00BE63EB">
        <w:rPr>
          <w:rStyle w:val="FootnoteReference"/>
          <w:rFonts w:ascii="Times New Roman" w:hAnsi="Times New Roman" w:cs="Times New Roman"/>
        </w:rPr>
        <w:footnoteRef/>
      </w:r>
      <w:r w:rsidRPr="00BE63EB">
        <w:rPr>
          <w:rFonts w:ascii="Times New Roman" w:hAnsi="Times New Roman" w:cs="Times New Roman"/>
        </w:rPr>
        <w:t xml:space="preserve"> WIOA Section 128(b)(4)(A)  </w:t>
      </w:r>
    </w:p>
  </w:footnote>
  <w:footnote w:id="2">
    <w:p w:rsidR="00FD273E" w:rsidRPr="00BE63EB" w:rsidRDefault="00FD273E">
      <w:pPr>
        <w:pStyle w:val="FootnoteText"/>
        <w:rPr>
          <w:rFonts w:ascii="Times New Roman" w:hAnsi="Times New Roman"/>
        </w:rPr>
      </w:pPr>
      <w:r w:rsidRPr="00BE63EB">
        <w:rPr>
          <w:rStyle w:val="FootnoteReference"/>
          <w:rFonts w:ascii="Times New Roman" w:hAnsi="Times New Roman"/>
        </w:rPr>
        <w:footnoteRef/>
      </w:r>
      <w:r w:rsidRPr="00BE63EB">
        <w:rPr>
          <w:rFonts w:ascii="Times New Roman" w:hAnsi="Times New Roman"/>
        </w:rPr>
        <w:t xml:space="preserve"> 20 CFR § 683.215(b)  </w:t>
      </w:r>
    </w:p>
  </w:footnote>
  <w:footnote w:id="3">
    <w:p w:rsidR="00FD273E" w:rsidRPr="00BE63EB" w:rsidRDefault="00FD273E">
      <w:pPr>
        <w:pStyle w:val="FootnoteText"/>
        <w:rPr>
          <w:rFonts w:ascii="Times New Roman" w:hAnsi="Times New Roman"/>
        </w:rPr>
      </w:pPr>
      <w:r w:rsidRPr="00BE63EB">
        <w:rPr>
          <w:rStyle w:val="FootnoteReference"/>
          <w:rFonts w:ascii="Times New Roman" w:hAnsi="Times New Roman"/>
        </w:rPr>
        <w:footnoteRef/>
      </w:r>
      <w:r w:rsidRPr="00BE63EB">
        <w:rPr>
          <w:rFonts w:ascii="Times New Roman" w:hAnsi="Times New Roman"/>
        </w:rPr>
        <w:t xml:space="preserve"> 20 CFR § 683.215(c)(1)   </w:t>
      </w:r>
    </w:p>
  </w:footnote>
  <w:footnote w:id="4">
    <w:p w:rsidR="00FD273E" w:rsidRPr="00BE63EB" w:rsidRDefault="00FD273E">
      <w:pPr>
        <w:pStyle w:val="FootnoteText"/>
        <w:rPr>
          <w:rFonts w:ascii="Times New Roman" w:hAnsi="Times New Roman"/>
        </w:rPr>
      </w:pPr>
      <w:r w:rsidRPr="00BE63EB">
        <w:rPr>
          <w:rStyle w:val="FootnoteReference"/>
          <w:rFonts w:ascii="Times New Roman" w:hAnsi="Times New Roman"/>
        </w:rPr>
        <w:footnoteRef/>
      </w:r>
      <w:r w:rsidRPr="00BE63EB">
        <w:rPr>
          <w:rFonts w:ascii="Times New Roman" w:hAnsi="Times New Roman"/>
        </w:rPr>
        <w:t xml:space="preserve"> 20 CFR § 683.215(c)(2)  </w:t>
      </w:r>
    </w:p>
  </w:footnote>
  <w:footnote w:id="5">
    <w:p w:rsidR="00FD273E" w:rsidRDefault="00FD273E">
      <w:pPr>
        <w:pStyle w:val="FootnoteText"/>
      </w:pPr>
      <w:r w:rsidRPr="00BE63EB">
        <w:rPr>
          <w:rStyle w:val="FootnoteReference"/>
          <w:rFonts w:ascii="Times New Roman" w:hAnsi="Times New Roman"/>
        </w:rPr>
        <w:footnoteRef/>
      </w:r>
      <w:r w:rsidRPr="00BE63EB">
        <w:rPr>
          <w:rFonts w:ascii="Times New Roman" w:hAnsi="Times New Roman"/>
        </w:rPr>
        <w:t xml:space="preserve"> 20 CFR § 683.215(c)(3)</w:t>
      </w:r>
      <w:r>
        <w:t xml:space="preserve">  </w:t>
      </w:r>
    </w:p>
  </w:footnote>
  <w:footnote w:id="6">
    <w:p w:rsidR="00FD273E" w:rsidRPr="00BE63EB" w:rsidRDefault="00FD273E">
      <w:pPr>
        <w:pStyle w:val="FootnoteText"/>
        <w:rPr>
          <w:rFonts w:ascii="Times New Roman" w:hAnsi="Times New Roman"/>
        </w:rPr>
      </w:pPr>
      <w:r w:rsidRPr="00BE63EB">
        <w:rPr>
          <w:rStyle w:val="FootnoteReference"/>
          <w:rFonts w:ascii="Times New Roman" w:hAnsi="Times New Roman"/>
        </w:rPr>
        <w:footnoteRef/>
      </w:r>
      <w:r w:rsidRPr="00BE63EB">
        <w:rPr>
          <w:rFonts w:ascii="Times New Roman" w:hAnsi="Times New Roman"/>
        </w:rPr>
        <w:t xml:space="preserve"> 20 CFR § 683.215(c)(4)  </w:t>
      </w:r>
    </w:p>
  </w:footnote>
  <w:footnote w:id="7">
    <w:p w:rsidR="00FD273E" w:rsidRPr="00BE63EB" w:rsidRDefault="00FD273E">
      <w:pPr>
        <w:pStyle w:val="FootnoteText"/>
        <w:rPr>
          <w:rFonts w:ascii="Times New Roman" w:hAnsi="Times New Roman"/>
        </w:rPr>
      </w:pPr>
      <w:r w:rsidRPr="00BE63EB">
        <w:rPr>
          <w:rStyle w:val="FootnoteReference"/>
          <w:rFonts w:ascii="Times New Roman" w:hAnsi="Times New Roman"/>
        </w:rPr>
        <w:footnoteRef/>
      </w:r>
      <w:r w:rsidRPr="00BE63EB">
        <w:rPr>
          <w:rFonts w:ascii="Times New Roman" w:hAnsi="Times New Roman"/>
        </w:rPr>
        <w:t xml:space="preserve"> 20 CFR § 683.215(c)(5)  </w:t>
      </w:r>
    </w:p>
  </w:footnote>
  <w:footnote w:id="8">
    <w:p w:rsidR="00FD273E" w:rsidRPr="00BE63EB" w:rsidRDefault="00FD273E">
      <w:pPr>
        <w:pStyle w:val="FootnoteText"/>
        <w:rPr>
          <w:rFonts w:ascii="Times New Roman" w:hAnsi="Times New Roman"/>
        </w:rPr>
      </w:pPr>
      <w:r w:rsidRPr="00BE63EB">
        <w:rPr>
          <w:rStyle w:val="FootnoteReference"/>
          <w:rFonts w:ascii="Times New Roman" w:hAnsi="Times New Roman"/>
        </w:rPr>
        <w:footnoteRef/>
      </w:r>
      <w:r w:rsidRPr="00BE63EB">
        <w:rPr>
          <w:rFonts w:ascii="Times New Roman" w:hAnsi="Times New Roman"/>
        </w:rPr>
        <w:t xml:space="preserve"> 20 CFR § 683.215(c)(6)  </w:t>
      </w:r>
    </w:p>
  </w:footnote>
  <w:footnote w:id="9">
    <w:p w:rsidR="00FD273E" w:rsidRPr="00BE63EB" w:rsidRDefault="00FD273E">
      <w:pPr>
        <w:pStyle w:val="FootnoteText"/>
        <w:rPr>
          <w:rFonts w:ascii="Times New Roman" w:hAnsi="Times New Roman"/>
        </w:rPr>
      </w:pPr>
      <w:r w:rsidRPr="00BE63EB">
        <w:rPr>
          <w:rStyle w:val="FootnoteReference"/>
          <w:rFonts w:ascii="Times New Roman" w:hAnsi="Times New Roman"/>
        </w:rPr>
        <w:footnoteRef/>
      </w:r>
      <w:r w:rsidRPr="00BE63EB">
        <w:rPr>
          <w:rFonts w:ascii="Times New Roman" w:hAnsi="Times New Roman"/>
        </w:rPr>
        <w:t xml:space="preserve"> 2 CFR § 200.413(b)  </w:t>
      </w:r>
    </w:p>
  </w:footnote>
  <w:footnote w:id="10">
    <w:p w:rsidR="00FD273E" w:rsidRDefault="00FD273E">
      <w:pPr>
        <w:pStyle w:val="FootnoteText"/>
      </w:pPr>
      <w:r w:rsidRPr="00BE63EB">
        <w:rPr>
          <w:rStyle w:val="FootnoteReference"/>
          <w:rFonts w:ascii="Times New Roman" w:hAnsi="Times New Roman"/>
        </w:rPr>
        <w:footnoteRef/>
      </w:r>
      <w:r w:rsidRPr="00BE63EB">
        <w:rPr>
          <w:rFonts w:ascii="Times New Roman" w:hAnsi="Times New Roman"/>
        </w:rPr>
        <w:t xml:space="preserve"> 2 CFR § 200.412</w:t>
      </w:r>
      <w:r>
        <w:t xml:space="preserve">  </w:t>
      </w:r>
    </w:p>
  </w:footnote>
  <w:footnote w:id="11">
    <w:p w:rsidR="00FD273E" w:rsidRPr="00BE63EB" w:rsidRDefault="00FD273E">
      <w:pPr>
        <w:pStyle w:val="FootnoteText"/>
        <w:rPr>
          <w:rFonts w:ascii="Times New Roman" w:hAnsi="Times New Roman"/>
        </w:rPr>
      </w:pPr>
      <w:r w:rsidRPr="00BE63EB">
        <w:rPr>
          <w:rStyle w:val="FootnoteReference"/>
          <w:rFonts w:ascii="Times New Roman" w:hAnsi="Times New Roman"/>
        </w:rPr>
        <w:footnoteRef/>
      </w:r>
      <w:r w:rsidRPr="00BE63EB">
        <w:rPr>
          <w:rFonts w:ascii="Times New Roman" w:hAnsi="Times New Roman"/>
        </w:rPr>
        <w:t xml:space="preserve"> 2 CFR § 200.413(a)  </w:t>
      </w:r>
    </w:p>
  </w:footnote>
  <w:footnote w:id="12">
    <w:p w:rsidR="00FD273E" w:rsidRPr="00BE63EB" w:rsidRDefault="00FD273E">
      <w:pPr>
        <w:pStyle w:val="FootnoteText"/>
        <w:rPr>
          <w:rFonts w:ascii="Times New Roman" w:hAnsi="Times New Roman"/>
        </w:rPr>
      </w:pPr>
      <w:r w:rsidRPr="00BE63EB">
        <w:rPr>
          <w:rStyle w:val="FootnoteReference"/>
          <w:rFonts w:ascii="Times New Roman" w:hAnsi="Times New Roman"/>
        </w:rPr>
        <w:footnoteRef/>
      </w:r>
      <w:r w:rsidRPr="00BE63EB">
        <w:rPr>
          <w:rFonts w:ascii="Times New Roman" w:hAnsi="Times New Roman"/>
        </w:rPr>
        <w:t xml:space="preserve"> </w:t>
      </w:r>
      <w:r w:rsidR="00BE63EB" w:rsidRPr="00BE63EB">
        <w:rPr>
          <w:rFonts w:ascii="Times New Roman" w:hAnsi="Times New Roman"/>
        </w:rPr>
        <w:t xml:space="preserve">Id.  </w:t>
      </w:r>
    </w:p>
  </w:footnote>
  <w:footnote w:id="13">
    <w:p w:rsidR="00FD273E" w:rsidRPr="00BE63EB" w:rsidRDefault="00FD273E">
      <w:pPr>
        <w:pStyle w:val="FootnoteText"/>
        <w:rPr>
          <w:rFonts w:ascii="Times New Roman" w:hAnsi="Times New Roman"/>
        </w:rPr>
      </w:pPr>
      <w:r w:rsidRPr="00BE63EB">
        <w:rPr>
          <w:rStyle w:val="FootnoteReference"/>
          <w:rFonts w:ascii="Times New Roman" w:hAnsi="Times New Roman"/>
        </w:rPr>
        <w:footnoteRef/>
      </w:r>
      <w:r w:rsidRPr="00BE63EB">
        <w:rPr>
          <w:rFonts w:ascii="Times New Roman" w:hAnsi="Times New Roman"/>
        </w:rPr>
        <w:t xml:space="preserve"> </w:t>
      </w:r>
      <w:r w:rsidR="00BE63EB" w:rsidRPr="00BE63EB">
        <w:rPr>
          <w:rFonts w:ascii="Times New Roman" w:hAnsi="Times New Roman"/>
        </w:rPr>
        <w:t xml:space="preserve">2 CFR § 200.413(b), Appendix IV B.3.b(4)  </w:t>
      </w:r>
    </w:p>
  </w:footnote>
  <w:footnote w:id="14">
    <w:p w:rsidR="00FD273E" w:rsidRPr="00BE63EB" w:rsidRDefault="00FD273E">
      <w:pPr>
        <w:pStyle w:val="FootnoteText"/>
        <w:rPr>
          <w:rFonts w:ascii="Times New Roman" w:hAnsi="Times New Roman"/>
        </w:rPr>
      </w:pPr>
      <w:r w:rsidRPr="00BE63EB">
        <w:rPr>
          <w:rStyle w:val="FootnoteReference"/>
          <w:rFonts w:ascii="Times New Roman" w:hAnsi="Times New Roman"/>
        </w:rPr>
        <w:footnoteRef/>
      </w:r>
      <w:r w:rsidRPr="00BE63EB">
        <w:rPr>
          <w:rFonts w:ascii="Times New Roman" w:hAnsi="Times New Roman"/>
        </w:rPr>
        <w:t xml:space="preserve"> </w:t>
      </w:r>
      <w:r w:rsidR="00BE63EB" w:rsidRPr="00BE63EB">
        <w:rPr>
          <w:rFonts w:ascii="Times New Roman" w:hAnsi="Times New Roman"/>
        </w:rPr>
        <w:t xml:space="preserve">2 CFR § 200.413(c)  </w:t>
      </w:r>
    </w:p>
  </w:footnote>
  <w:footnote w:id="15">
    <w:p w:rsidR="00FD273E" w:rsidRPr="00BE63EB" w:rsidRDefault="00FD273E">
      <w:pPr>
        <w:pStyle w:val="FootnoteText"/>
        <w:rPr>
          <w:rFonts w:ascii="Times New Roman" w:hAnsi="Times New Roman"/>
        </w:rPr>
      </w:pPr>
      <w:r w:rsidRPr="00BE63EB">
        <w:rPr>
          <w:rStyle w:val="FootnoteReference"/>
          <w:rFonts w:ascii="Times New Roman" w:hAnsi="Times New Roman"/>
        </w:rPr>
        <w:footnoteRef/>
      </w:r>
      <w:r w:rsidRPr="00BE63EB">
        <w:rPr>
          <w:rFonts w:ascii="Times New Roman" w:hAnsi="Times New Roman"/>
        </w:rPr>
        <w:t xml:space="preserve"> </w:t>
      </w:r>
      <w:r w:rsidR="00BE63EB" w:rsidRPr="00BE63EB">
        <w:rPr>
          <w:rFonts w:ascii="Times New Roman" w:hAnsi="Times New Roman"/>
        </w:rPr>
        <w:t xml:space="preserve">2 CFR § 200.56  </w:t>
      </w:r>
    </w:p>
  </w:footnote>
  <w:footnote w:id="16">
    <w:p w:rsidR="00FD273E" w:rsidRPr="00BE63EB" w:rsidRDefault="00FD273E">
      <w:pPr>
        <w:pStyle w:val="FootnoteText"/>
        <w:rPr>
          <w:rFonts w:ascii="Times New Roman" w:hAnsi="Times New Roman"/>
        </w:rPr>
      </w:pPr>
      <w:r w:rsidRPr="00BE63EB">
        <w:rPr>
          <w:rStyle w:val="FootnoteReference"/>
          <w:rFonts w:ascii="Times New Roman" w:hAnsi="Times New Roman"/>
        </w:rPr>
        <w:footnoteRef/>
      </w:r>
      <w:r w:rsidRPr="00BE63EB">
        <w:rPr>
          <w:rFonts w:ascii="Times New Roman" w:hAnsi="Times New Roman"/>
        </w:rPr>
        <w:t xml:space="preserve"> </w:t>
      </w:r>
      <w:r w:rsidR="00BE63EB" w:rsidRPr="00BE63EB">
        <w:rPr>
          <w:rFonts w:ascii="Times New Roman" w:hAnsi="Times New Roman"/>
        </w:rPr>
        <w:t xml:space="preserve">2 CFR Part 200, Appendix IV A.1  </w:t>
      </w:r>
    </w:p>
  </w:footnote>
  <w:footnote w:id="17">
    <w:p w:rsidR="00FD273E" w:rsidRDefault="00FD273E">
      <w:pPr>
        <w:pStyle w:val="FootnoteText"/>
      </w:pPr>
      <w:r w:rsidRPr="00BE63EB">
        <w:rPr>
          <w:rStyle w:val="FootnoteReference"/>
          <w:rFonts w:ascii="Times New Roman" w:hAnsi="Times New Roman"/>
        </w:rPr>
        <w:footnoteRef/>
      </w:r>
      <w:r w:rsidRPr="00BE63EB">
        <w:rPr>
          <w:rFonts w:ascii="Times New Roman" w:hAnsi="Times New Roman"/>
        </w:rPr>
        <w:t xml:space="preserve"> </w:t>
      </w:r>
      <w:r w:rsidR="00BE63EB" w:rsidRPr="00BE63EB">
        <w:rPr>
          <w:rFonts w:ascii="Times New Roman" w:hAnsi="Times New Roman"/>
        </w:rPr>
        <w:t>20 CFR § 683.205(a)(4)</w:t>
      </w:r>
      <w:r w:rsidR="00BE63EB">
        <w:t xml:space="preserve">  </w:t>
      </w:r>
    </w:p>
  </w:footnote>
  <w:footnote w:id="18">
    <w:p w:rsidR="00FD273E" w:rsidRPr="00BE63EB" w:rsidRDefault="00FD273E">
      <w:pPr>
        <w:pStyle w:val="FootnoteText"/>
        <w:rPr>
          <w:rFonts w:ascii="Times New Roman" w:hAnsi="Times New Roman"/>
        </w:rPr>
      </w:pPr>
      <w:r w:rsidRPr="00BE63EB">
        <w:rPr>
          <w:rStyle w:val="FootnoteReference"/>
          <w:rFonts w:ascii="Times New Roman" w:hAnsi="Times New Roman"/>
        </w:rPr>
        <w:footnoteRef/>
      </w:r>
      <w:r w:rsidRPr="00BE63EB">
        <w:rPr>
          <w:rFonts w:ascii="Times New Roman" w:hAnsi="Times New Roman"/>
        </w:rPr>
        <w:t xml:space="preserve"> </w:t>
      </w:r>
      <w:r w:rsidR="00BE63EB" w:rsidRPr="00BE63EB">
        <w:rPr>
          <w:rFonts w:ascii="Times New Roman" w:hAnsi="Times New Roman"/>
        </w:rPr>
        <w:t xml:space="preserve">20 CFR § 683.205(a)(5)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BD1" w:rsidRDefault="00E54BD1">
    <w:pPr>
      <w:pStyle w:val="Header"/>
    </w:pPr>
  </w:p>
  <w:p w:rsidR="00A65917" w:rsidRDefault="00A65917">
    <w:pPr>
      <w:pStyle w:val="Header"/>
    </w:pPr>
  </w:p>
  <w:p w:rsidR="00E54BD1" w:rsidRDefault="00E54BD1">
    <w:pPr>
      <w:pStyle w:val="Header"/>
    </w:pPr>
    <w:r>
      <w:rPr>
        <w:rFonts w:cs="Arial"/>
        <w:b/>
        <w:noProof/>
        <w:color w:val="008080"/>
      </w:rPr>
      <w:drawing>
        <wp:anchor distT="0" distB="0" distL="114300" distR="114300" simplePos="0" relativeHeight="251659264" behindDoc="1" locked="0" layoutInCell="1" allowOverlap="1">
          <wp:simplePos x="0" y="0"/>
          <wp:positionH relativeFrom="margin">
            <wp:align>right</wp:align>
          </wp:positionH>
          <wp:positionV relativeFrom="paragraph">
            <wp:posOffset>-190500</wp:posOffset>
          </wp:positionV>
          <wp:extent cx="1725871" cy="552450"/>
          <wp:effectExtent l="0" t="0" r="8255" b="0"/>
          <wp:wrapNone/>
          <wp:docPr id="9" name="Picture 9" descr="This graphic reads as:  American Job Center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graphic reads as:  American Job Center Networ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5871"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-38100</wp:posOffset>
          </wp:positionH>
          <wp:positionV relativeFrom="paragraph">
            <wp:posOffset>-309245</wp:posOffset>
          </wp:positionV>
          <wp:extent cx="4027170" cy="761933"/>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ief Elected Officials Board.jpg"/>
                  <pic:cNvPicPr/>
                </pic:nvPicPr>
                <pic:blipFill rotWithShape="1">
                  <a:blip r:embed="rId2" cstate="print">
                    <a:extLst>
                      <a:ext uri="{28A0092B-C50C-407E-A947-70E740481C1C}">
                        <a14:useLocalDpi xmlns:a14="http://schemas.microsoft.com/office/drawing/2010/main" val="0"/>
                      </a:ext>
                    </a:extLst>
                  </a:blip>
                  <a:srcRect l="8422" t="25366" r="10572" b="18271"/>
                  <a:stretch/>
                </pic:blipFill>
                <pic:spPr bwMode="auto">
                  <a:xfrm>
                    <a:off x="0" y="0"/>
                    <a:ext cx="4027170" cy="761933"/>
                  </a:xfrm>
                  <a:prstGeom prst="rect">
                    <a:avLst/>
                  </a:prstGeom>
                  <a:ln>
                    <a:noFill/>
                  </a:ln>
                  <a:extLst>
                    <a:ext uri="{53640926-AAD7-44D8-BBD7-CCE9431645EC}">
                      <a14:shadowObscured xmlns:a14="http://schemas.microsoft.com/office/drawing/2010/main"/>
                    </a:ext>
                  </a:extLst>
                </pic:spPr>
              </pic:pic>
            </a:graphicData>
          </a:graphic>
        </wp:anchor>
      </w:drawing>
    </w:r>
  </w:p>
  <w:p w:rsidR="00E54BD1" w:rsidRPr="00E54BD1" w:rsidRDefault="00E54BD1" w:rsidP="00E54BD1">
    <w:pPr>
      <w:pStyle w:val="Header"/>
      <w:ind w:right="-18"/>
      <w:rPr>
        <w:rFonts w:cs="Arial"/>
        <w:b/>
      </w:rPr>
    </w:pPr>
    <w:r w:rsidRPr="00E54BD1">
      <w:rPr>
        <w:rFonts w:cs="Arial"/>
        <w:b/>
      </w:rPr>
      <w:tab/>
      <w:t xml:space="preserve">                                       </w:t>
    </w:r>
  </w:p>
  <w:p w:rsidR="00685C25" w:rsidRDefault="00685C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1D17"/>
    <w:multiLevelType w:val="hybridMultilevel"/>
    <w:tmpl w:val="1E0CF828"/>
    <w:lvl w:ilvl="0" w:tplc="EE328E06">
      <w:numFmt w:val="bullet"/>
      <w:lvlText w:val=""/>
      <w:lvlJc w:val="left"/>
      <w:pPr>
        <w:ind w:left="720" w:hanging="360"/>
      </w:pPr>
      <w:rPr>
        <w:rFonts w:ascii="Times New Roman" w:eastAsia="+mn-e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448DC"/>
    <w:multiLevelType w:val="hybridMultilevel"/>
    <w:tmpl w:val="AFB66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D76E5"/>
    <w:multiLevelType w:val="hybridMultilevel"/>
    <w:tmpl w:val="0F92A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17007"/>
    <w:multiLevelType w:val="hybridMultilevel"/>
    <w:tmpl w:val="1C2E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FD3825"/>
    <w:multiLevelType w:val="hybridMultilevel"/>
    <w:tmpl w:val="5C56E4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3A2141"/>
    <w:multiLevelType w:val="hybridMultilevel"/>
    <w:tmpl w:val="B4D620F2"/>
    <w:lvl w:ilvl="0" w:tplc="707243F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5C0C38"/>
    <w:multiLevelType w:val="hybridMultilevel"/>
    <w:tmpl w:val="0A8C1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6C04F6"/>
    <w:multiLevelType w:val="hybridMultilevel"/>
    <w:tmpl w:val="05D4F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E932A4"/>
    <w:multiLevelType w:val="hybridMultilevel"/>
    <w:tmpl w:val="DF566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66551E"/>
    <w:multiLevelType w:val="hybridMultilevel"/>
    <w:tmpl w:val="8FEE0E14"/>
    <w:lvl w:ilvl="0" w:tplc="74C63DC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7530F4"/>
    <w:multiLevelType w:val="hybridMultilevel"/>
    <w:tmpl w:val="06F64C3A"/>
    <w:lvl w:ilvl="0" w:tplc="0409000F">
      <w:start w:val="1"/>
      <w:numFmt w:val="decimal"/>
      <w:lvlText w:val="%1."/>
      <w:lvlJc w:val="left"/>
      <w:pPr>
        <w:ind w:left="360" w:hanging="360"/>
      </w:pPr>
    </w:lvl>
    <w:lvl w:ilvl="1" w:tplc="BBDEB7C2">
      <w:numFmt w:val="bullet"/>
      <w:lvlText w:val=""/>
      <w:lvlJc w:val="left"/>
      <w:pPr>
        <w:ind w:left="1080" w:hanging="360"/>
      </w:pPr>
      <w:rPr>
        <w:rFonts w:ascii="Symbol" w:eastAsiaTheme="minorHAnsi" w:hAnsi="Symbol"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9"/>
  </w:num>
  <w:num w:numId="3">
    <w:abstractNumId w:val="8"/>
  </w:num>
  <w:num w:numId="4">
    <w:abstractNumId w:val="5"/>
  </w:num>
  <w:num w:numId="5">
    <w:abstractNumId w:val="6"/>
  </w:num>
  <w:num w:numId="6">
    <w:abstractNumId w:val="1"/>
  </w:num>
  <w:num w:numId="7">
    <w:abstractNumId w:val="10"/>
  </w:num>
  <w:num w:numId="8">
    <w:abstractNumId w:val="3"/>
  </w:num>
  <w:num w:numId="9">
    <w:abstractNumId w:val="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BD1"/>
    <w:rsid w:val="00002F99"/>
    <w:rsid w:val="001657D1"/>
    <w:rsid w:val="001812AD"/>
    <w:rsid w:val="001E5A01"/>
    <w:rsid w:val="00271DC0"/>
    <w:rsid w:val="002B7A4D"/>
    <w:rsid w:val="0039572C"/>
    <w:rsid w:val="003B7519"/>
    <w:rsid w:val="004E704B"/>
    <w:rsid w:val="005B0793"/>
    <w:rsid w:val="00685C25"/>
    <w:rsid w:val="006F2509"/>
    <w:rsid w:val="0073736B"/>
    <w:rsid w:val="00750CEC"/>
    <w:rsid w:val="007D6F57"/>
    <w:rsid w:val="00817949"/>
    <w:rsid w:val="00942EBD"/>
    <w:rsid w:val="009D2F91"/>
    <w:rsid w:val="009E5E0D"/>
    <w:rsid w:val="00A24959"/>
    <w:rsid w:val="00A454BA"/>
    <w:rsid w:val="00A65917"/>
    <w:rsid w:val="00A93C42"/>
    <w:rsid w:val="00AA3652"/>
    <w:rsid w:val="00B34E0F"/>
    <w:rsid w:val="00BD7645"/>
    <w:rsid w:val="00BE63EB"/>
    <w:rsid w:val="00BE7F01"/>
    <w:rsid w:val="00C06578"/>
    <w:rsid w:val="00C66F5B"/>
    <w:rsid w:val="00D817BD"/>
    <w:rsid w:val="00D91D3D"/>
    <w:rsid w:val="00DA155F"/>
    <w:rsid w:val="00E54BD1"/>
    <w:rsid w:val="00E7754D"/>
    <w:rsid w:val="00EA508E"/>
    <w:rsid w:val="00F528B1"/>
    <w:rsid w:val="00F6054E"/>
    <w:rsid w:val="00FD2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557305E-F948-48E0-A7CC-AE90473E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B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BD1"/>
  </w:style>
  <w:style w:type="paragraph" w:styleId="Footer">
    <w:name w:val="footer"/>
    <w:basedOn w:val="Normal"/>
    <w:link w:val="FooterChar"/>
    <w:uiPriority w:val="99"/>
    <w:unhideWhenUsed/>
    <w:rsid w:val="00E54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BD1"/>
  </w:style>
  <w:style w:type="character" w:styleId="Hyperlink">
    <w:name w:val="Hyperlink"/>
    <w:uiPriority w:val="99"/>
    <w:rsid w:val="00E54BD1"/>
    <w:rPr>
      <w:color w:val="0000FF"/>
      <w:u w:val="single"/>
    </w:rPr>
  </w:style>
  <w:style w:type="table" w:styleId="TableGrid">
    <w:name w:val="Table Grid"/>
    <w:basedOn w:val="TableNormal"/>
    <w:rsid w:val="00E54BD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4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BD1"/>
    <w:rPr>
      <w:rFonts w:ascii="Segoe UI" w:hAnsi="Segoe UI" w:cs="Segoe UI"/>
      <w:sz w:val="18"/>
      <w:szCs w:val="18"/>
    </w:rPr>
  </w:style>
  <w:style w:type="paragraph" w:styleId="FootnoteText">
    <w:name w:val="footnote text"/>
    <w:basedOn w:val="Normal"/>
    <w:link w:val="FootnoteTextChar"/>
    <w:rsid w:val="00685C25"/>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685C25"/>
    <w:rPr>
      <w:rFonts w:ascii="Arial" w:eastAsia="Times New Roman" w:hAnsi="Arial" w:cs="Times New Roman"/>
      <w:sz w:val="20"/>
      <w:szCs w:val="20"/>
    </w:rPr>
  </w:style>
  <w:style w:type="character" w:styleId="FootnoteReference">
    <w:name w:val="footnote reference"/>
    <w:basedOn w:val="DefaultParagraphFont"/>
    <w:rsid w:val="00685C25"/>
    <w:rPr>
      <w:vertAlign w:val="superscript"/>
    </w:rPr>
  </w:style>
  <w:style w:type="paragraph" w:styleId="NormalWeb">
    <w:name w:val="Normal (Web)"/>
    <w:basedOn w:val="Normal"/>
    <w:uiPriority w:val="99"/>
    <w:semiHidden/>
    <w:unhideWhenUsed/>
    <w:rsid w:val="009D2F91"/>
    <w:pPr>
      <w:spacing w:before="100" w:beforeAutospacing="1" w:after="100" w:afterAutospacing="1" w:line="240" w:lineRule="auto"/>
    </w:pPr>
    <w:rPr>
      <w:rFonts w:eastAsia="Times New Roman" w:cs="Times New Roman"/>
      <w:sz w:val="24"/>
      <w:szCs w:val="24"/>
    </w:rPr>
  </w:style>
  <w:style w:type="paragraph" w:customStyle="1" w:styleId="Default">
    <w:name w:val="Default"/>
    <w:rsid w:val="00750CEC"/>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9E5E0D"/>
    <w:pPr>
      <w:widowControl w:val="0"/>
      <w:spacing w:after="0" w:line="240" w:lineRule="auto"/>
      <w:ind w:left="1207"/>
    </w:pPr>
    <w:rPr>
      <w:rFonts w:ascii="Arial" w:eastAsia="Arial" w:hAnsi="Arial"/>
      <w:sz w:val="21"/>
      <w:szCs w:val="21"/>
    </w:rPr>
  </w:style>
  <w:style w:type="character" w:customStyle="1" w:styleId="BodyTextChar">
    <w:name w:val="Body Text Char"/>
    <w:basedOn w:val="DefaultParagraphFont"/>
    <w:link w:val="BodyText"/>
    <w:uiPriority w:val="1"/>
    <w:rsid w:val="009E5E0D"/>
    <w:rPr>
      <w:rFonts w:ascii="Arial" w:eastAsia="Arial" w:hAnsi="Arial"/>
      <w:sz w:val="21"/>
      <w:szCs w:val="21"/>
    </w:rPr>
  </w:style>
  <w:style w:type="paragraph" w:styleId="ListParagraph">
    <w:name w:val="List Paragraph"/>
    <w:basedOn w:val="Normal"/>
    <w:uiPriority w:val="34"/>
    <w:qFormat/>
    <w:rsid w:val="003957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07766">
      <w:bodyDiv w:val="1"/>
      <w:marLeft w:val="0"/>
      <w:marRight w:val="0"/>
      <w:marTop w:val="0"/>
      <w:marBottom w:val="0"/>
      <w:divBdr>
        <w:top w:val="none" w:sz="0" w:space="0" w:color="auto"/>
        <w:left w:val="none" w:sz="0" w:space="0" w:color="auto"/>
        <w:bottom w:val="none" w:sz="0" w:space="0" w:color="auto"/>
        <w:right w:val="none" w:sz="0" w:space="0" w:color="auto"/>
      </w:divBdr>
    </w:div>
    <w:div w:id="1001349366">
      <w:bodyDiv w:val="1"/>
      <w:marLeft w:val="0"/>
      <w:marRight w:val="0"/>
      <w:marTop w:val="0"/>
      <w:marBottom w:val="0"/>
      <w:divBdr>
        <w:top w:val="none" w:sz="0" w:space="0" w:color="auto"/>
        <w:left w:val="none" w:sz="0" w:space="0" w:color="auto"/>
        <w:bottom w:val="none" w:sz="0" w:space="0" w:color="auto"/>
        <w:right w:val="none" w:sz="0" w:space="0" w:color="auto"/>
      </w:divBdr>
    </w:div>
    <w:div w:id="1806046560">
      <w:bodyDiv w:val="1"/>
      <w:marLeft w:val="0"/>
      <w:marRight w:val="0"/>
      <w:marTop w:val="0"/>
      <w:marBottom w:val="0"/>
      <w:divBdr>
        <w:top w:val="none" w:sz="0" w:space="0" w:color="auto"/>
        <w:left w:val="none" w:sz="0" w:space="0" w:color="auto"/>
        <w:bottom w:val="none" w:sz="0" w:space="0" w:color="auto"/>
        <w:right w:val="none" w:sz="0" w:space="0" w:color="auto"/>
      </w:divBdr>
    </w:div>
    <w:div w:id="195443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ol.greaternebraska@nebrask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dol.greaternebraska@nebraska.go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3AE49-4F4A-4BC2-BC3A-7DC075A3D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1459</Words>
  <Characters>8320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Nebraska Department of Labor</Company>
  <LinksUpToDate>false</LinksUpToDate>
  <CharactersWithSpaces>9760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Wren, Dylan</dc:creator>
  <cp:keywords/>
  <dc:description/>
  <cp:lastModifiedBy>Wren, Dylan</cp:lastModifiedBy>
  <cp:revision>10</cp:revision>
  <cp:lastPrinted>2017-01-19T13:26:00Z</cp:lastPrinted>
  <dcterms:created xsi:type="dcterms:W3CDTF">2017-01-19T17:42:00Z</dcterms:created>
  <dcterms:modified xsi:type="dcterms:W3CDTF">2017-02-15T17:29:00Z</dcterms:modified>
</cp:coreProperties>
</file>