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E9653D" w:rsidP="00857C39">
            <w:pPr>
              <w:pStyle w:val="Header"/>
              <w:ind w:left="-288" w:right="-282" w:firstLine="288"/>
              <w:rPr>
                <w:b/>
                <w:color w:val="000000"/>
                <w:sz w:val="40"/>
                <w:szCs w:val="40"/>
              </w:rPr>
            </w:pPr>
            <w:r>
              <w:rPr>
                <w:b/>
                <w:color w:val="000000"/>
                <w:sz w:val="40"/>
                <w:szCs w:val="40"/>
              </w:rPr>
              <w:t>Monitoring</w:t>
            </w:r>
            <w:r w:rsidR="00CD1695">
              <w:rPr>
                <w:b/>
                <w:color w:val="000000"/>
                <w:sz w:val="40"/>
                <w:szCs w:val="40"/>
              </w:rPr>
              <w:t xml:space="preserve"> </w:t>
            </w:r>
            <w:r w:rsidR="00685C25" w:rsidRPr="00E54BD1">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E9653D" w:rsidP="00FF4ED8">
            <w:pPr>
              <w:rPr>
                <w:sz w:val="56"/>
                <w:szCs w:val="56"/>
              </w:rPr>
            </w:pPr>
            <w:r>
              <w:rPr>
                <w:sz w:val="56"/>
                <w:szCs w:val="56"/>
              </w:rPr>
              <w:t>15</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1432A7"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E9653D" w:rsidP="00FF4ED8">
            <w:r>
              <w:t>1/9</w:t>
            </w:r>
            <w:r w:rsidR="00685C25">
              <w:t>/2017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685C25" w:rsidRPr="00685C25" w:rsidRDefault="00685C25" w:rsidP="00271DC0">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AF06FD" w:rsidRPr="001432A7" w:rsidRDefault="001432A7" w:rsidP="00271DC0">
      <w:pPr>
        <w:spacing w:after="0" w:line="240" w:lineRule="auto"/>
        <w:jc w:val="both"/>
        <w:rPr>
          <w:rFonts w:cs="Times New Roman"/>
          <w:sz w:val="24"/>
          <w:szCs w:val="24"/>
        </w:rPr>
      </w:pPr>
      <w:r w:rsidRPr="001432A7">
        <w:rPr>
          <w:rFonts w:cs="Times New Roman"/>
          <w:sz w:val="24"/>
          <w:szCs w:val="24"/>
        </w:rPr>
        <w:t>WIOA Section 116, 129, &amp; 134</w:t>
      </w:r>
    </w:p>
    <w:p w:rsidR="001432A7" w:rsidRPr="001432A7" w:rsidRDefault="001432A7" w:rsidP="00271DC0">
      <w:pPr>
        <w:spacing w:after="0" w:line="240" w:lineRule="auto"/>
        <w:jc w:val="both"/>
        <w:rPr>
          <w:rFonts w:cs="Times New Roman"/>
          <w:sz w:val="24"/>
          <w:szCs w:val="24"/>
        </w:rPr>
      </w:pPr>
      <w:r w:rsidRPr="001432A7">
        <w:rPr>
          <w:rFonts w:cs="Times New Roman"/>
          <w:sz w:val="24"/>
          <w:szCs w:val="24"/>
        </w:rPr>
        <w:t>20 CFR 679.370</w:t>
      </w:r>
    </w:p>
    <w:p w:rsidR="001432A7" w:rsidRDefault="001432A7" w:rsidP="00271DC0">
      <w:pPr>
        <w:spacing w:after="0" w:line="240" w:lineRule="auto"/>
        <w:jc w:val="both"/>
        <w:rPr>
          <w:rFonts w:eastAsia="Times New Roman" w:cs="Times New Roman"/>
          <w:b/>
          <w:u w:val="single"/>
        </w:rPr>
      </w:pP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AF06FD" w:rsidRPr="001432A7" w:rsidRDefault="00AF06FD" w:rsidP="00AF06FD">
      <w:pPr>
        <w:spacing w:after="0" w:line="240" w:lineRule="auto"/>
        <w:jc w:val="both"/>
        <w:rPr>
          <w:rFonts w:eastAsia="Times New Roman" w:cs="Times New Roman"/>
          <w:sz w:val="24"/>
          <w:szCs w:val="24"/>
        </w:rPr>
      </w:pPr>
      <w:r w:rsidRPr="001432A7">
        <w:rPr>
          <w:rFonts w:eastAsia="Times New Roman" w:cs="Times New Roman"/>
          <w:sz w:val="24"/>
          <w:szCs w:val="24"/>
        </w:rPr>
        <w:t xml:space="preserve">This policy establishes </w:t>
      </w:r>
      <w:r w:rsidR="001432A7" w:rsidRPr="001432A7">
        <w:rPr>
          <w:rFonts w:eastAsia="Times New Roman" w:cs="Times New Roman"/>
          <w:sz w:val="24"/>
          <w:szCs w:val="24"/>
        </w:rPr>
        <w:t xml:space="preserve">a process for monitoring the adult, dislocated worker, and youth programs by the board. </w:t>
      </w:r>
    </w:p>
    <w:p w:rsidR="00685C25" w:rsidRPr="00685C25" w:rsidRDefault="00685C25" w:rsidP="00271DC0">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0D091E" w:rsidRDefault="00E9653D" w:rsidP="00271DC0">
      <w:pPr>
        <w:spacing w:after="0" w:line="240" w:lineRule="auto"/>
        <w:jc w:val="both"/>
        <w:rPr>
          <w:rFonts w:cs="Times New Roman"/>
          <w:sz w:val="24"/>
          <w:szCs w:val="24"/>
        </w:rPr>
      </w:pPr>
      <w:r w:rsidRPr="003E05E4">
        <w:rPr>
          <w:rFonts w:cs="Times New Roman"/>
          <w:sz w:val="24"/>
          <w:szCs w:val="24"/>
        </w:rPr>
        <w:t xml:space="preserve">Under </w:t>
      </w:r>
      <w:hyperlink r:id="rId9" w:history="1">
        <w:r w:rsidRPr="003E05E4">
          <w:rPr>
            <w:rStyle w:val="Hyperlink"/>
            <w:sz w:val="24"/>
            <w:szCs w:val="24"/>
          </w:rPr>
          <w:t xml:space="preserve">Title 20 C.F.R </w:t>
        </w:r>
        <w:r w:rsidRPr="003E05E4">
          <w:rPr>
            <w:rStyle w:val="Hyperlink"/>
            <w:bCs/>
            <w:sz w:val="24"/>
            <w:szCs w:val="24"/>
          </w:rPr>
          <w:t>§ 679.370</w:t>
        </w:r>
      </w:hyperlink>
      <w:r w:rsidRPr="003E05E4">
        <w:rPr>
          <w:rFonts w:cs="Times New Roman"/>
          <w:bCs/>
          <w:sz w:val="24"/>
          <w:szCs w:val="24"/>
        </w:rPr>
        <w:t xml:space="preserve">, </w:t>
      </w:r>
      <w:r w:rsidRPr="003E05E4">
        <w:rPr>
          <w:rFonts w:cs="Times New Roman"/>
          <w:sz w:val="24"/>
          <w:szCs w:val="24"/>
        </w:rPr>
        <w:t>the workforce development board must</w:t>
      </w:r>
      <w:r w:rsidRPr="003E05E4">
        <w:rPr>
          <w:rFonts w:cs="Times New Roman"/>
          <w:b/>
          <w:bCs/>
          <w:sz w:val="24"/>
          <w:szCs w:val="24"/>
        </w:rPr>
        <w:t xml:space="preserve"> </w:t>
      </w:r>
      <w:r w:rsidRPr="003E05E4">
        <w:rPr>
          <w:rFonts w:cs="Times New Roman"/>
          <w:sz w:val="24"/>
          <w:szCs w:val="24"/>
        </w:rPr>
        <w:t>conduct oversight of youth workforce investment activities authorized under WIOA sec. 129(c), adult and dislocated worker employment and training activities under WIOA secs. 134(c) and (d), and the entire one-stop delivery system in the local area. The board must also ensure the appropriate use, management, and investment of funds to maximize performance outcomes under WIOA sec. 116.</w:t>
      </w:r>
    </w:p>
    <w:p w:rsidR="00E9653D" w:rsidRDefault="00E9653D" w:rsidP="00271DC0">
      <w:pPr>
        <w:spacing w:after="0" w:line="240" w:lineRule="auto"/>
        <w:jc w:val="both"/>
        <w:rPr>
          <w:rFonts w:eastAsia="Times New Roman" w:cs="Times New Roman"/>
        </w:rPr>
      </w:pPr>
    </w:p>
    <w:p w:rsidR="00685C25" w:rsidRPr="009D2F91" w:rsidRDefault="00685C25" w:rsidP="00271DC0">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1432A7" w:rsidRPr="00E7754D" w:rsidRDefault="001432A7" w:rsidP="001432A7">
      <w:pPr>
        <w:pStyle w:val="Default"/>
        <w:jc w:val="both"/>
        <w:rPr>
          <w:rFonts w:ascii="Times New Roman" w:hAnsi="Times New Roman" w:cs="Times New Roman"/>
          <w:sz w:val="22"/>
          <w:szCs w:val="22"/>
        </w:rPr>
      </w:pPr>
      <w:r>
        <w:rPr>
          <w:rFonts w:ascii="Times New Roman" w:eastAsia="Times New Roman" w:hAnsi="Times New Roman" w:cs="Times New Roman"/>
          <w:sz w:val="22"/>
          <w:szCs w:val="22"/>
        </w:rPr>
        <w:t>Effective 1/9</w:t>
      </w:r>
      <w:r>
        <w:rPr>
          <w:rFonts w:ascii="Times New Roman" w:eastAsia="Times New Roman" w:hAnsi="Times New Roman" w:cs="Times New Roman"/>
          <w:sz w:val="22"/>
          <w:szCs w:val="22"/>
        </w:rPr>
        <w:t>/2017, the Administrative Entity</w:t>
      </w:r>
      <w:r>
        <w:rPr>
          <w:rFonts w:ascii="Times New Roman" w:eastAsia="Times New Roman" w:hAnsi="Times New Roman" w:cs="Times New Roman"/>
          <w:sz w:val="22"/>
          <w:szCs w:val="22"/>
        </w:rPr>
        <w:t xml:space="preserve"> </w:t>
      </w:r>
      <w:r w:rsidRPr="00E7754D">
        <w:rPr>
          <w:rFonts w:ascii="Times New Roman" w:eastAsia="Times New Roman" w:hAnsi="Times New Roman" w:cs="Times New Roman"/>
          <w:sz w:val="22"/>
          <w:szCs w:val="22"/>
        </w:rPr>
        <w:t xml:space="preserve">staff </w:t>
      </w:r>
      <w:r>
        <w:rPr>
          <w:rFonts w:ascii="Times New Roman" w:eastAsia="Times New Roman" w:hAnsi="Times New Roman" w:cs="Times New Roman"/>
          <w:sz w:val="22"/>
          <w:szCs w:val="22"/>
        </w:rPr>
        <w:t xml:space="preserve">and </w:t>
      </w:r>
      <w:r w:rsidRPr="003E05E4">
        <w:rPr>
          <w:rFonts w:ascii="Times New Roman" w:hAnsi="Times New Roman" w:cs="Times New Roman"/>
          <w:bCs/>
        </w:rPr>
        <w:t xml:space="preserve">Greater Nebraska Workforce Development Board </w:t>
      </w:r>
      <w:r w:rsidRPr="00E7754D">
        <w:rPr>
          <w:rFonts w:ascii="Times New Roman" w:eastAsia="Times New Roman" w:hAnsi="Times New Roman" w:cs="Times New Roman"/>
          <w:sz w:val="22"/>
          <w:szCs w:val="22"/>
        </w:rPr>
        <w:t xml:space="preserve">must implement this policy. </w:t>
      </w:r>
    </w:p>
    <w:p w:rsidR="001432A7" w:rsidRDefault="001432A7" w:rsidP="00271DC0">
      <w:pPr>
        <w:spacing w:after="0" w:line="240" w:lineRule="auto"/>
        <w:jc w:val="both"/>
        <w:rPr>
          <w:rFonts w:eastAsia="+mn-ea" w:cs="Times New Roman"/>
          <w:b/>
          <w:bCs/>
          <w:color w:val="00607F"/>
          <w:kern w:val="24"/>
          <w:sz w:val="28"/>
          <w:szCs w:val="28"/>
          <w:u w:val="single"/>
        </w:rPr>
      </w:pPr>
      <w:bookmarkStart w:id="0" w:name="_GoBack"/>
      <w:bookmarkEnd w:id="0"/>
    </w:p>
    <w:p w:rsidR="00870C91" w:rsidRPr="00750CEC" w:rsidRDefault="00685C25" w:rsidP="001432A7">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E9653D" w:rsidRPr="003E05E4" w:rsidRDefault="00E9653D" w:rsidP="00E9653D">
      <w:pPr>
        <w:pStyle w:val="Default"/>
        <w:jc w:val="both"/>
        <w:rPr>
          <w:rFonts w:ascii="Times New Roman" w:hAnsi="Times New Roman" w:cs="Times New Roman"/>
          <w:b/>
          <w:bCs/>
        </w:rPr>
      </w:pPr>
      <w:r w:rsidRPr="003E05E4">
        <w:rPr>
          <w:rFonts w:ascii="Times New Roman" w:hAnsi="Times New Roman" w:cs="Times New Roman"/>
          <w:bCs/>
        </w:rPr>
        <w:t xml:space="preserve">The Greater Nebraska Workforce Development Board </w:t>
      </w:r>
      <w:r>
        <w:rPr>
          <w:rFonts w:ascii="Times New Roman" w:hAnsi="Times New Roman" w:cs="Times New Roman"/>
          <w:bCs/>
        </w:rPr>
        <w:t xml:space="preserve">(GNWDB) </w:t>
      </w:r>
      <w:r w:rsidRPr="003E05E4">
        <w:rPr>
          <w:rFonts w:ascii="Times New Roman" w:hAnsi="Times New Roman" w:cs="Times New Roman"/>
          <w:bCs/>
        </w:rPr>
        <w:t>System Coordination Committee is assigned the responsibility of program oversight for the Greater Nebraska Workforce Development area.</w:t>
      </w:r>
    </w:p>
    <w:p w:rsidR="00E9653D" w:rsidRPr="003E05E4" w:rsidRDefault="00E9653D" w:rsidP="00E9653D">
      <w:pPr>
        <w:pStyle w:val="Default"/>
        <w:jc w:val="both"/>
        <w:rPr>
          <w:rFonts w:ascii="Times New Roman" w:hAnsi="Times New Roman" w:cs="Times New Roman"/>
          <w:bCs/>
        </w:rPr>
      </w:pPr>
    </w:p>
    <w:p w:rsidR="00E9653D" w:rsidRPr="003E05E4" w:rsidRDefault="00E9653D" w:rsidP="00E9653D">
      <w:pPr>
        <w:pStyle w:val="Default"/>
        <w:jc w:val="both"/>
        <w:rPr>
          <w:rFonts w:ascii="Times New Roman" w:hAnsi="Times New Roman" w:cs="Times New Roman"/>
          <w:bCs/>
        </w:rPr>
      </w:pPr>
      <w:r w:rsidRPr="003E05E4">
        <w:rPr>
          <w:rFonts w:ascii="Times New Roman" w:hAnsi="Times New Roman" w:cs="Times New Roman"/>
          <w:bCs/>
        </w:rPr>
        <w:t>The Committee has the authority to monitor all recipients of Workforce Innovation and</w:t>
      </w:r>
      <w:r>
        <w:rPr>
          <w:rFonts w:ascii="Times New Roman" w:hAnsi="Times New Roman" w:cs="Times New Roman"/>
          <w:bCs/>
        </w:rPr>
        <w:t xml:space="preserve"> </w:t>
      </w:r>
      <w:r w:rsidRPr="003E05E4">
        <w:rPr>
          <w:rFonts w:ascii="Times New Roman" w:hAnsi="Times New Roman" w:cs="Times New Roman"/>
          <w:bCs/>
        </w:rPr>
        <w:t xml:space="preserve">Opportunity Act funds </w:t>
      </w:r>
      <w:r>
        <w:rPr>
          <w:rFonts w:ascii="Times New Roman" w:hAnsi="Times New Roman" w:cs="Times New Roman"/>
          <w:bCs/>
        </w:rPr>
        <w:t>awarded by the GNWDB</w:t>
      </w:r>
      <w:r w:rsidRPr="003E05E4">
        <w:rPr>
          <w:rFonts w:ascii="Times New Roman" w:hAnsi="Times New Roman" w:cs="Times New Roman"/>
          <w:bCs/>
        </w:rPr>
        <w:t>. The committee may examine records (including making certified copies of such records), question employees, interview clients who are receiving assistance under the Workforce Development program, and enter any premise or site in which any part of a program or activity of a recipient is conducted or records of the recipient are kept.</w:t>
      </w:r>
    </w:p>
    <w:p w:rsidR="00E9653D" w:rsidRPr="003E05E4" w:rsidRDefault="00E9653D" w:rsidP="00E9653D">
      <w:pPr>
        <w:pStyle w:val="Default"/>
        <w:jc w:val="both"/>
        <w:rPr>
          <w:rFonts w:ascii="Times New Roman" w:hAnsi="Times New Roman" w:cs="Times New Roman"/>
          <w:bCs/>
        </w:rPr>
      </w:pPr>
    </w:p>
    <w:p w:rsidR="00E9653D" w:rsidRPr="003E05E4" w:rsidRDefault="00E9653D" w:rsidP="00E9653D">
      <w:pPr>
        <w:pStyle w:val="Default"/>
        <w:jc w:val="both"/>
        <w:rPr>
          <w:rFonts w:ascii="Times New Roman" w:hAnsi="Times New Roman" w:cs="Times New Roman"/>
          <w:bCs/>
        </w:rPr>
      </w:pPr>
      <w:r>
        <w:rPr>
          <w:rFonts w:ascii="Times New Roman" w:hAnsi="Times New Roman" w:cs="Times New Roman"/>
          <w:bCs/>
        </w:rPr>
        <w:t xml:space="preserve">At each meeting the </w:t>
      </w:r>
      <w:r w:rsidRPr="003E05E4">
        <w:rPr>
          <w:rFonts w:ascii="Times New Roman" w:hAnsi="Times New Roman" w:cs="Times New Roman"/>
          <w:bCs/>
        </w:rPr>
        <w:t>GNWDB will review the budget status, including current obligations and expenditures, status of enrollments and most recent quarterly performance results. The service provider will also be present at each meeting to present on these items as needed and answer any questions.</w:t>
      </w:r>
    </w:p>
    <w:p w:rsidR="00E9653D" w:rsidRPr="003E05E4" w:rsidRDefault="00E9653D" w:rsidP="00E9653D">
      <w:pPr>
        <w:pStyle w:val="Default"/>
        <w:jc w:val="both"/>
        <w:rPr>
          <w:rFonts w:ascii="Times New Roman" w:hAnsi="Times New Roman" w:cs="Times New Roman"/>
          <w:bCs/>
        </w:rPr>
      </w:pPr>
    </w:p>
    <w:p w:rsidR="00E9653D" w:rsidRPr="003E05E4" w:rsidRDefault="00E9653D" w:rsidP="00E9653D">
      <w:pPr>
        <w:pStyle w:val="Default"/>
        <w:jc w:val="both"/>
        <w:rPr>
          <w:rFonts w:ascii="Times New Roman" w:hAnsi="Times New Roman" w:cs="Times New Roman"/>
          <w:bCs/>
        </w:rPr>
      </w:pPr>
      <w:r w:rsidRPr="003E05E4">
        <w:rPr>
          <w:rFonts w:ascii="Times New Roman" w:hAnsi="Times New Roman" w:cs="Times New Roman"/>
          <w:bCs/>
        </w:rPr>
        <w:t>The Administrative Entity will review client files on a regular basis, searching for compliance with eligibility, employment strategy implementation, and fiscal regulations. Results will be presented to the committee and GNWDB. Findings will also be shared with the service provider. Depending on the severity or frequency of the findings, corrective action may be required.</w:t>
      </w:r>
    </w:p>
    <w:p w:rsidR="00E9653D" w:rsidRPr="003E05E4" w:rsidRDefault="00E9653D" w:rsidP="00E9653D">
      <w:pPr>
        <w:pStyle w:val="Default"/>
        <w:ind w:left="720"/>
        <w:jc w:val="both"/>
        <w:rPr>
          <w:rFonts w:ascii="Times New Roman" w:hAnsi="Times New Roman" w:cs="Times New Roman"/>
          <w:bCs/>
        </w:rPr>
      </w:pPr>
    </w:p>
    <w:p w:rsidR="00E9653D" w:rsidRPr="003E05E4" w:rsidRDefault="00E9653D" w:rsidP="00E9653D">
      <w:pPr>
        <w:pStyle w:val="Default"/>
        <w:jc w:val="both"/>
        <w:rPr>
          <w:rFonts w:ascii="Times New Roman" w:hAnsi="Times New Roman" w:cs="Times New Roman"/>
          <w:b/>
          <w:bCs/>
        </w:rPr>
      </w:pPr>
      <w:r w:rsidRPr="003E05E4">
        <w:rPr>
          <w:rFonts w:ascii="Times New Roman" w:hAnsi="Times New Roman" w:cs="Times New Roman"/>
          <w:b/>
          <w:bCs/>
        </w:rPr>
        <w:t xml:space="preserve">Performance Oversight Schedule </w:t>
      </w:r>
    </w:p>
    <w:p w:rsidR="00E9653D" w:rsidRPr="003E05E4" w:rsidRDefault="00E9653D" w:rsidP="00E9653D">
      <w:pPr>
        <w:pStyle w:val="Default"/>
        <w:jc w:val="both"/>
        <w:rPr>
          <w:rFonts w:ascii="Times New Roman" w:hAnsi="Times New Roman" w:cs="Times New Roman"/>
          <w:bCs/>
        </w:rPr>
      </w:pPr>
    </w:p>
    <w:tbl>
      <w:tblPr>
        <w:tblStyle w:val="TableGrid"/>
        <w:tblW w:w="9350" w:type="dxa"/>
        <w:tblInd w:w="-5" w:type="dxa"/>
        <w:tblLook w:val="04A0" w:firstRow="1" w:lastRow="0" w:firstColumn="1" w:lastColumn="0" w:noHBand="0" w:noVBand="1"/>
      </w:tblPr>
      <w:tblGrid>
        <w:gridCol w:w="1229"/>
        <w:gridCol w:w="1216"/>
        <w:gridCol w:w="2981"/>
        <w:gridCol w:w="3924"/>
      </w:tblGrid>
      <w:tr w:rsidR="00E9653D" w:rsidRPr="003E05E4" w:rsidTr="00E9653D">
        <w:tc>
          <w:tcPr>
            <w:tcW w:w="1229"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Frequency</w:t>
            </w:r>
          </w:p>
        </w:tc>
        <w:tc>
          <w:tcPr>
            <w:tcW w:w="1216"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Event </w:t>
            </w:r>
          </w:p>
        </w:tc>
        <w:tc>
          <w:tcPr>
            <w:tcW w:w="2981"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Description </w:t>
            </w:r>
          </w:p>
        </w:tc>
        <w:tc>
          <w:tcPr>
            <w:tcW w:w="3924"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Benchmarks </w:t>
            </w:r>
          </w:p>
        </w:tc>
      </w:tr>
      <w:tr w:rsidR="00E9653D" w:rsidRPr="003E05E4" w:rsidTr="00E9653D">
        <w:tc>
          <w:tcPr>
            <w:tcW w:w="1229"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Monthly</w:t>
            </w:r>
          </w:p>
        </w:tc>
        <w:tc>
          <w:tcPr>
            <w:tcW w:w="1216"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WIOA Report </w:t>
            </w:r>
          </w:p>
        </w:tc>
        <w:tc>
          <w:tcPr>
            <w:tcW w:w="2981" w:type="dxa"/>
          </w:tcPr>
          <w:p w:rsidR="00E9653D" w:rsidRPr="003E05E4" w:rsidRDefault="00E9653D" w:rsidP="00E9653D">
            <w:pPr>
              <w:pStyle w:val="Default"/>
              <w:numPr>
                <w:ilvl w:val="0"/>
                <w:numId w:val="9"/>
              </w:numPr>
              <w:jc w:val="both"/>
              <w:rPr>
                <w:rFonts w:ascii="Times New Roman" w:hAnsi="Times New Roman" w:cs="Times New Roman"/>
                <w:bCs/>
              </w:rPr>
            </w:pPr>
            <w:r w:rsidRPr="003E05E4">
              <w:rPr>
                <w:rFonts w:ascii="Times New Roman" w:hAnsi="Times New Roman" w:cs="Times New Roman"/>
                <w:bCs/>
              </w:rPr>
              <w:t xml:space="preserve">Administrative Entity will review the monthly report data as compared to goals/benchmarks </w:t>
            </w:r>
          </w:p>
          <w:p w:rsidR="00E9653D" w:rsidRPr="003E05E4" w:rsidRDefault="00E9653D" w:rsidP="00E9653D">
            <w:pPr>
              <w:pStyle w:val="Default"/>
              <w:numPr>
                <w:ilvl w:val="0"/>
                <w:numId w:val="9"/>
              </w:numPr>
              <w:jc w:val="both"/>
              <w:rPr>
                <w:rFonts w:ascii="Times New Roman" w:hAnsi="Times New Roman" w:cs="Times New Roman"/>
                <w:bCs/>
              </w:rPr>
            </w:pPr>
            <w:r w:rsidRPr="003E05E4">
              <w:rPr>
                <w:rFonts w:ascii="Times New Roman" w:hAnsi="Times New Roman" w:cs="Times New Roman"/>
                <w:bCs/>
              </w:rPr>
              <w:t xml:space="preserve">Administrative Entity may impose corrective action for failure to meet goals   </w:t>
            </w:r>
          </w:p>
        </w:tc>
        <w:tc>
          <w:tcPr>
            <w:tcW w:w="3924" w:type="dxa"/>
          </w:tcPr>
          <w:p w:rsidR="00E9653D" w:rsidRPr="003E05E4" w:rsidRDefault="00E9653D" w:rsidP="00E9653D">
            <w:pPr>
              <w:pStyle w:val="Default"/>
              <w:numPr>
                <w:ilvl w:val="0"/>
                <w:numId w:val="8"/>
              </w:numPr>
              <w:jc w:val="both"/>
              <w:rPr>
                <w:rFonts w:ascii="Times New Roman" w:hAnsi="Times New Roman" w:cs="Times New Roman"/>
                <w:bCs/>
              </w:rPr>
            </w:pPr>
            <w:r w:rsidRPr="003E05E4">
              <w:rPr>
                <w:rFonts w:ascii="Times New Roman" w:hAnsi="Times New Roman" w:cs="Times New Roman"/>
                <w:bCs/>
              </w:rPr>
              <w:t>Active caseload goals</w:t>
            </w:r>
          </w:p>
          <w:p w:rsidR="00E9653D" w:rsidRPr="003E05E4" w:rsidRDefault="00E9653D" w:rsidP="00E9653D">
            <w:pPr>
              <w:pStyle w:val="Default"/>
              <w:numPr>
                <w:ilvl w:val="0"/>
                <w:numId w:val="8"/>
              </w:numPr>
              <w:jc w:val="both"/>
              <w:rPr>
                <w:rFonts w:ascii="Times New Roman" w:hAnsi="Times New Roman" w:cs="Times New Roman"/>
                <w:bCs/>
              </w:rPr>
            </w:pPr>
            <w:r w:rsidRPr="003E05E4">
              <w:rPr>
                <w:rFonts w:ascii="Times New Roman" w:hAnsi="Times New Roman" w:cs="Times New Roman"/>
                <w:bCs/>
              </w:rPr>
              <w:t xml:space="preserve"># of Clients enrolled over two years  </w:t>
            </w:r>
          </w:p>
          <w:p w:rsidR="00E9653D" w:rsidRPr="003E05E4" w:rsidRDefault="00E9653D" w:rsidP="00E9653D">
            <w:pPr>
              <w:pStyle w:val="Default"/>
              <w:numPr>
                <w:ilvl w:val="0"/>
                <w:numId w:val="8"/>
              </w:numPr>
              <w:jc w:val="both"/>
              <w:rPr>
                <w:rFonts w:ascii="Times New Roman" w:hAnsi="Times New Roman" w:cs="Times New Roman"/>
                <w:bCs/>
              </w:rPr>
            </w:pPr>
            <w:r w:rsidRPr="003E05E4">
              <w:rPr>
                <w:rFonts w:ascii="Times New Roman" w:hAnsi="Times New Roman" w:cs="Times New Roman"/>
                <w:bCs/>
              </w:rPr>
              <w:t xml:space="preserve">Exited program </w:t>
            </w:r>
          </w:p>
          <w:p w:rsidR="00E9653D" w:rsidRPr="003E05E4" w:rsidRDefault="00E9653D" w:rsidP="00E7764F">
            <w:pPr>
              <w:pStyle w:val="Default"/>
              <w:jc w:val="both"/>
              <w:rPr>
                <w:rFonts w:ascii="Times New Roman" w:hAnsi="Times New Roman" w:cs="Times New Roman"/>
                <w:bCs/>
              </w:rPr>
            </w:pPr>
          </w:p>
        </w:tc>
      </w:tr>
      <w:tr w:rsidR="00E9653D" w:rsidRPr="003E05E4" w:rsidTr="00E9653D">
        <w:tc>
          <w:tcPr>
            <w:tcW w:w="1229"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Monthly </w:t>
            </w:r>
          </w:p>
        </w:tc>
        <w:tc>
          <w:tcPr>
            <w:tcW w:w="1216"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Quality Assurance</w:t>
            </w:r>
          </w:p>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Review  </w:t>
            </w:r>
          </w:p>
        </w:tc>
        <w:tc>
          <w:tcPr>
            <w:tcW w:w="2981" w:type="dxa"/>
          </w:tcPr>
          <w:p w:rsidR="00E9653D" w:rsidRPr="003E05E4" w:rsidRDefault="00E9653D" w:rsidP="00E9653D">
            <w:pPr>
              <w:pStyle w:val="Default"/>
              <w:numPr>
                <w:ilvl w:val="0"/>
                <w:numId w:val="10"/>
              </w:numPr>
              <w:jc w:val="both"/>
              <w:rPr>
                <w:rFonts w:ascii="Times New Roman" w:hAnsi="Times New Roman" w:cs="Times New Roman"/>
                <w:bCs/>
              </w:rPr>
            </w:pPr>
            <w:r w:rsidRPr="003E05E4">
              <w:rPr>
                <w:rFonts w:ascii="Times New Roman" w:hAnsi="Times New Roman" w:cs="Times New Roman"/>
                <w:bCs/>
              </w:rPr>
              <w:t>Administrative Entity will review 8 active files each month  for quality</w:t>
            </w:r>
          </w:p>
        </w:tc>
        <w:tc>
          <w:tcPr>
            <w:tcW w:w="3924" w:type="dxa"/>
          </w:tcPr>
          <w:p w:rsidR="00E9653D" w:rsidRPr="003E05E4" w:rsidRDefault="00E9653D" w:rsidP="00E9653D">
            <w:pPr>
              <w:pStyle w:val="Default"/>
              <w:numPr>
                <w:ilvl w:val="0"/>
                <w:numId w:val="10"/>
              </w:numPr>
              <w:jc w:val="both"/>
              <w:rPr>
                <w:rFonts w:ascii="Times New Roman" w:hAnsi="Times New Roman" w:cs="Times New Roman"/>
                <w:bCs/>
              </w:rPr>
            </w:pPr>
            <w:r w:rsidRPr="003E05E4">
              <w:rPr>
                <w:rFonts w:ascii="Times New Roman" w:hAnsi="Times New Roman" w:cs="Times New Roman"/>
                <w:bCs/>
              </w:rPr>
              <w:t xml:space="preserve">Eligibility </w:t>
            </w:r>
          </w:p>
          <w:p w:rsidR="00E9653D" w:rsidRPr="003E05E4" w:rsidRDefault="00E9653D" w:rsidP="00E9653D">
            <w:pPr>
              <w:pStyle w:val="Default"/>
              <w:numPr>
                <w:ilvl w:val="0"/>
                <w:numId w:val="10"/>
              </w:numPr>
              <w:jc w:val="both"/>
              <w:rPr>
                <w:rFonts w:ascii="Times New Roman" w:hAnsi="Times New Roman" w:cs="Times New Roman"/>
                <w:bCs/>
              </w:rPr>
            </w:pPr>
            <w:r w:rsidRPr="003E05E4">
              <w:rPr>
                <w:rFonts w:ascii="Times New Roman" w:hAnsi="Times New Roman" w:cs="Times New Roman"/>
                <w:bCs/>
              </w:rPr>
              <w:t xml:space="preserve">Determination of Need </w:t>
            </w:r>
          </w:p>
          <w:p w:rsidR="00E9653D" w:rsidRPr="003E05E4" w:rsidRDefault="00E9653D" w:rsidP="00E9653D">
            <w:pPr>
              <w:pStyle w:val="Default"/>
              <w:numPr>
                <w:ilvl w:val="0"/>
                <w:numId w:val="10"/>
              </w:numPr>
              <w:jc w:val="both"/>
              <w:rPr>
                <w:rFonts w:ascii="Times New Roman" w:hAnsi="Times New Roman" w:cs="Times New Roman"/>
                <w:bCs/>
              </w:rPr>
            </w:pPr>
            <w:r w:rsidRPr="003E05E4">
              <w:rPr>
                <w:rFonts w:ascii="Times New Roman" w:hAnsi="Times New Roman" w:cs="Times New Roman"/>
                <w:bCs/>
              </w:rPr>
              <w:t xml:space="preserve">Individual Employment Plan/ Individual Service Strategy </w:t>
            </w:r>
          </w:p>
          <w:p w:rsidR="00E9653D" w:rsidRPr="003E05E4" w:rsidRDefault="00E9653D" w:rsidP="00E9653D">
            <w:pPr>
              <w:pStyle w:val="Default"/>
              <w:numPr>
                <w:ilvl w:val="0"/>
                <w:numId w:val="10"/>
              </w:numPr>
              <w:jc w:val="both"/>
              <w:rPr>
                <w:rFonts w:ascii="Times New Roman" w:hAnsi="Times New Roman" w:cs="Times New Roman"/>
                <w:bCs/>
              </w:rPr>
            </w:pPr>
            <w:r w:rsidRPr="003E05E4">
              <w:rPr>
                <w:rFonts w:ascii="Times New Roman" w:hAnsi="Times New Roman" w:cs="Times New Roman"/>
                <w:bCs/>
              </w:rPr>
              <w:t xml:space="preserve">Expenditure Documentation </w:t>
            </w:r>
          </w:p>
        </w:tc>
      </w:tr>
      <w:tr w:rsidR="00E9653D" w:rsidRPr="003E05E4" w:rsidTr="00E9653D">
        <w:tc>
          <w:tcPr>
            <w:tcW w:w="1229"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Quarterly </w:t>
            </w:r>
          </w:p>
        </w:tc>
        <w:tc>
          <w:tcPr>
            <w:tcW w:w="1216" w:type="dxa"/>
          </w:tcPr>
          <w:p w:rsidR="00E9653D" w:rsidRPr="003E05E4" w:rsidRDefault="00E9653D" w:rsidP="00E7764F">
            <w:pPr>
              <w:pStyle w:val="Default"/>
              <w:jc w:val="both"/>
              <w:rPr>
                <w:rFonts w:ascii="Times New Roman" w:hAnsi="Times New Roman" w:cs="Times New Roman"/>
                <w:bCs/>
              </w:rPr>
            </w:pPr>
            <w:r w:rsidRPr="003E05E4">
              <w:rPr>
                <w:rFonts w:ascii="Times New Roman" w:hAnsi="Times New Roman" w:cs="Times New Roman"/>
                <w:bCs/>
              </w:rPr>
              <w:t xml:space="preserve">Board Meeting </w:t>
            </w:r>
          </w:p>
        </w:tc>
        <w:tc>
          <w:tcPr>
            <w:tcW w:w="2981" w:type="dxa"/>
          </w:tcPr>
          <w:p w:rsidR="00E9653D" w:rsidRPr="003E05E4" w:rsidRDefault="00E9653D" w:rsidP="00E9653D">
            <w:pPr>
              <w:pStyle w:val="Default"/>
              <w:numPr>
                <w:ilvl w:val="0"/>
                <w:numId w:val="12"/>
              </w:numPr>
              <w:jc w:val="both"/>
              <w:rPr>
                <w:rFonts w:ascii="Times New Roman" w:hAnsi="Times New Roman" w:cs="Times New Roman"/>
                <w:bCs/>
              </w:rPr>
            </w:pPr>
            <w:r w:rsidRPr="003E05E4">
              <w:rPr>
                <w:rFonts w:ascii="Times New Roman" w:hAnsi="Times New Roman" w:cs="Times New Roman"/>
                <w:bCs/>
              </w:rPr>
              <w:t xml:space="preserve">Administrative Entity will report out to System Coordination Committee and Greater Nebraska Workforce Development  Board </w:t>
            </w:r>
          </w:p>
        </w:tc>
        <w:tc>
          <w:tcPr>
            <w:tcW w:w="3924" w:type="dxa"/>
          </w:tcPr>
          <w:p w:rsidR="00E9653D" w:rsidRPr="003E05E4" w:rsidRDefault="00E9653D" w:rsidP="00E9653D">
            <w:pPr>
              <w:pStyle w:val="Default"/>
              <w:numPr>
                <w:ilvl w:val="0"/>
                <w:numId w:val="11"/>
              </w:numPr>
              <w:jc w:val="both"/>
              <w:rPr>
                <w:rFonts w:ascii="Times New Roman" w:hAnsi="Times New Roman" w:cs="Times New Roman"/>
                <w:bCs/>
              </w:rPr>
            </w:pPr>
            <w:r w:rsidRPr="003E05E4">
              <w:rPr>
                <w:rFonts w:ascii="Times New Roman" w:hAnsi="Times New Roman" w:cs="Times New Roman"/>
                <w:bCs/>
              </w:rPr>
              <w:t xml:space="preserve">WIOA Report and Quality Assurance Review results </w:t>
            </w:r>
          </w:p>
        </w:tc>
      </w:tr>
    </w:tbl>
    <w:p w:rsidR="00E9653D" w:rsidRPr="003E05E4" w:rsidRDefault="00E9653D" w:rsidP="00E9653D">
      <w:pPr>
        <w:pStyle w:val="Default"/>
        <w:jc w:val="both"/>
        <w:rPr>
          <w:rFonts w:ascii="Times New Roman" w:hAnsi="Times New Roman" w:cs="Times New Roman"/>
          <w:bCs/>
        </w:rPr>
      </w:pPr>
    </w:p>
    <w:p w:rsidR="00870C91" w:rsidRPr="00685C25" w:rsidRDefault="00870C91" w:rsidP="00685C25">
      <w:pPr>
        <w:spacing w:after="0" w:line="240" w:lineRule="auto"/>
        <w:rPr>
          <w:rFonts w:eastAsia="Times New Roman" w:cs="Times New Roman"/>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lastRenderedPageBreak/>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1432A7">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1432A7">
              <w:rPr>
                <w:b/>
                <w:bCs/>
                <w:noProof/>
                <w:sz w:val="20"/>
                <w:szCs w:val="20"/>
              </w:rPr>
              <w:t>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02816"/>
    <w:multiLevelType w:val="hybridMultilevel"/>
    <w:tmpl w:val="300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F7DC1"/>
    <w:multiLevelType w:val="hybridMultilevel"/>
    <w:tmpl w:val="E626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55478"/>
    <w:multiLevelType w:val="hybridMultilevel"/>
    <w:tmpl w:val="E700A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9190A"/>
    <w:multiLevelType w:val="hybridMultilevel"/>
    <w:tmpl w:val="8BD2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86430D"/>
    <w:multiLevelType w:val="hybridMultilevel"/>
    <w:tmpl w:val="2DD6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5"/>
  </w:num>
  <w:num w:numId="6">
    <w:abstractNumId w:val="0"/>
  </w:num>
  <w:num w:numId="7">
    <w:abstractNumId w:val="7"/>
  </w:num>
  <w:num w:numId="8">
    <w:abstractNumId w:val="11"/>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091E"/>
    <w:rsid w:val="001432A7"/>
    <w:rsid w:val="001657D1"/>
    <w:rsid w:val="001812AD"/>
    <w:rsid w:val="001A6CBC"/>
    <w:rsid w:val="00224FEE"/>
    <w:rsid w:val="00271DC0"/>
    <w:rsid w:val="0038470C"/>
    <w:rsid w:val="0039572C"/>
    <w:rsid w:val="003B7519"/>
    <w:rsid w:val="004E704B"/>
    <w:rsid w:val="005B0793"/>
    <w:rsid w:val="00685C25"/>
    <w:rsid w:val="006F2509"/>
    <w:rsid w:val="0073736B"/>
    <w:rsid w:val="00750CEC"/>
    <w:rsid w:val="007D6F57"/>
    <w:rsid w:val="00857C39"/>
    <w:rsid w:val="00870C91"/>
    <w:rsid w:val="00885CBE"/>
    <w:rsid w:val="009231B2"/>
    <w:rsid w:val="00965A8E"/>
    <w:rsid w:val="009D2F91"/>
    <w:rsid w:val="009D4221"/>
    <w:rsid w:val="009E5E0D"/>
    <w:rsid w:val="00A65917"/>
    <w:rsid w:val="00A93C42"/>
    <w:rsid w:val="00AF06FD"/>
    <w:rsid w:val="00BE7F01"/>
    <w:rsid w:val="00C06578"/>
    <w:rsid w:val="00CD1695"/>
    <w:rsid w:val="00DA155F"/>
    <w:rsid w:val="00E54BD1"/>
    <w:rsid w:val="00E7754D"/>
    <w:rsid w:val="00E9653D"/>
    <w:rsid w:val="00EA508E"/>
    <w:rsid w:val="00F528B1"/>
    <w:rsid w:val="00F6054E"/>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5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16-08-19/pdf/2016-1597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7D80-C653-4670-A018-6B6C685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4</cp:revision>
  <cp:lastPrinted>2017-01-19T13:26:00Z</cp:lastPrinted>
  <dcterms:created xsi:type="dcterms:W3CDTF">2017-02-15T15:57:00Z</dcterms:created>
  <dcterms:modified xsi:type="dcterms:W3CDTF">2017-02-15T16:45:00Z</dcterms:modified>
</cp:coreProperties>
</file>