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935"/>
        <w:gridCol w:w="1620"/>
        <w:gridCol w:w="1795"/>
      </w:tblGrid>
      <w:tr w:rsidR="00685C25" w:rsidTr="00FF4ED8">
        <w:tc>
          <w:tcPr>
            <w:tcW w:w="5935" w:type="dxa"/>
          </w:tcPr>
          <w:p w:rsidR="00C05156" w:rsidRDefault="00C05156" w:rsidP="00857C39">
            <w:pPr>
              <w:pStyle w:val="Header"/>
              <w:ind w:left="-288" w:right="-282" w:firstLine="288"/>
              <w:rPr>
                <w:b/>
                <w:color w:val="000000"/>
                <w:sz w:val="40"/>
                <w:szCs w:val="40"/>
              </w:rPr>
            </w:pPr>
            <w:r>
              <w:rPr>
                <w:b/>
                <w:color w:val="000000"/>
                <w:sz w:val="40"/>
                <w:szCs w:val="40"/>
              </w:rPr>
              <w:t xml:space="preserve">Requires Additional Assistance </w:t>
            </w:r>
          </w:p>
          <w:p w:rsidR="00685C25" w:rsidRPr="00E54BD1" w:rsidRDefault="00685C25" w:rsidP="00857C39">
            <w:pPr>
              <w:pStyle w:val="Header"/>
              <w:ind w:left="-288" w:right="-282" w:firstLine="288"/>
              <w:rPr>
                <w:b/>
                <w:color w:val="000000"/>
                <w:sz w:val="40"/>
                <w:szCs w:val="40"/>
              </w:rPr>
            </w:pPr>
            <w:r w:rsidRPr="00E54BD1">
              <w:rPr>
                <w:b/>
                <w:color w:val="000000"/>
                <w:sz w:val="40"/>
                <w:szCs w:val="40"/>
              </w:rPr>
              <w:t>Policy</w:t>
            </w:r>
          </w:p>
          <w:p w:rsidR="00685C25" w:rsidRDefault="00685C25" w:rsidP="00FF4ED8"/>
        </w:tc>
        <w:tc>
          <w:tcPr>
            <w:tcW w:w="1620" w:type="dxa"/>
          </w:tcPr>
          <w:p w:rsidR="00685C25" w:rsidRDefault="00685C25" w:rsidP="00FF4ED8">
            <w:r>
              <w:t xml:space="preserve">Policy No. </w:t>
            </w:r>
          </w:p>
        </w:tc>
        <w:tc>
          <w:tcPr>
            <w:tcW w:w="1795" w:type="dxa"/>
          </w:tcPr>
          <w:p w:rsidR="00685C25" w:rsidRPr="007D6F57" w:rsidRDefault="00C05156" w:rsidP="00FF4ED8">
            <w:pPr>
              <w:rPr>
                <w:sz w:val="56"/>
                <w:szCs w:val="56"/>
              </w:rPr>
            </w:pPr>
            <w:r>
              <w:rPr>
                <w:sz w:val="56"/>
                <w:szCs w:val="56"/>
              </w:rPr>
              <w:t>20</w:t>
            </w:r>
          </w:p>
        </w:tc>
      </w:tr>
      <w:tr w:rsidR="00685C25" w:rsidTr="00FF4ED8">
        <w:tc>
          <w:tcPr>
            <w:tcW w:w="5935" w:type="dxa"/>
            <w:vMerge w:val="restart"/>
          </w:tcPr>
          <w:p w:rsidR="00685C25" w:rsidRPr="009D2F91" w:rsidRDefault="00685C25" w:rsidP="00FF4ED8">
            <w:pPr>
              <w:pStyle w:val="Header"/>
              <w:ind w:left="-288" w:right="-282" w:firstLine="288"/>
              <w:rPr>
                <w:rFonts w:eastAsia="+mn-ea"/>
                <w:b/>
                <w:bCs/>
                <w:color w:val="00607F"/>
                <w:kern w:val="24"/>
                <w:sz w:val="26"/>
                <w:szCs w:val="26"/>
              </w:rPr>
            </w:pPr>
            <w:r w:rsidRPr="00331488">
              <w:rPr>
                <w:rFonts w:eastAsia="+mn-ea"/>
                <w:b/>
                <w:bCs/>
                <w:color w:val="00607F"/>
                <w:kern w:val="24"/>
                <w:sz w:val="26"/>
                <w:szCs w:val="26"/>
              </w:rPr>
              <w:t>Greater Nebraska Workforce Development Area</w:t>
            </w:r>
            <w:r w:rsidRPr="009D2F91">
              <w:rPr>
                <w:rFonts w:eastAsia="+mn-ea"/>
                <w:b/>
                <w:bCs/>
                <w:color w:val="00607F"/>
                <w:kern w:val="24"/>
                <w:sz w:val="26"/>
                <w:szCs w:val="26"/>
              </w:rPr>
              <w:t xml:space="preserve"> </w:t>
            </w:r>
          </w:p>
          <w:p w:rsidR="00685C25" w:rsidRPr="00A93C42" w:rsidRDefault="00685C25" w:rsidP="00FF4ED8">
            <w:pPr>
              <w:pStyle w:val="Header"/>
              <w:ind w:left="-288" w:right="-282" w:firstLine="288"/>
              <w:rPr>
                <w:rFonts w:eastAsia="+mn-ea"/>
                <w:bCs/>
                <w:kern w:val="24"/>
              </w:rPr>
            </w:pPr>
            <w:r w:rsidRPr="00A93C42">
              <w:rPr>
                <w:rFonts w:eastAsia="+mn-ea"/>
                <w:bCs/>
                <w:kern w:val="24"/>
              </w:rPr>
              <w:t xml:space="preserve">550 South 16th Street </w:t>
            </w:r>
          </w:p>
          <w:p w:rsidR="00685C25" w:rsidRPr="00A93C42" w:rsidRDefault="00685C25" w:rsidP="00FF4ED8">
            <w:pPr>
              <w:pStyle w:val="Header"/>
              <w:ind w:left="-288" w:right="-282" w:firstLine="288"/>
              <w:rPr>
                <w:rFonts w:eastAsia="+mn-ea"/>
                <w:bCs/>
                <w:kern w:val="24"/>
              </w:rPr>
            </w:pPr>
            <w:r w:rsidRPr="00A93C42">
              <w:rPr>
                <w:rFonts w:eastAsia="+mn-ea"/>
                <w:bCs/>
                <w:kern w:val="24"/>
              </w:rPr>
              <w:t>Lincoln, NE 68508</w:t>
            </w:r>
          </w:p>
          <w:p w:rsidR="00685C25" w:rsidRPr="00A93C42" w:rsidRDefault="00685C25" w:rsidP="00FF4ED8">
            <w:pPr>
              <w:pStyle w:val="Header"/>
              <w:ind w:left="-288" w:right="-282" w:firstLine="288"/>
              <w:rPr>
                <w:rFonts w:eastAsia="+mn-ea"/>
                <w:bCs/>
                <w:kern w:val="24"/>
              </w:rPr>
            </w:pPr>
            <w:r w:rsidRPr="00A93C42">
              <w:rPr>
                <w:rFonts w:eastAsia="+mn-ea"/>
                <w:bCs/>
                <w:kern w:val="24"/>
              </w:rPr>
              <w:t>402.471.9878</w:t>
            </w:r>
          </w:p>
          <w:p w:rsidR="009D2F91" w:rsidRPr="00A93C42" w:rsidRDefault="00C26E9E" w:rsidP="009D2F91">
            <w:pPr>
              <w:pStyle w:val="NormalWeb"/>
              <w:spacing w:before="0" w:beforeAutospacing="0" w:after="0" w:afterAutospacing="0"/>
              <w:rPr>
                <w:sz w:val="20"/>
                <w:szCs w:val="20"/>
              </w:rPr>
            </w:pPr>
            <w:hyperlink r:id="rId8" w:history="1">
              <w:r w:rsidR="00685C25" w:rsidRPr="00A93C42">
                <w:rPr>
                  <w:rStyle w:val="Hyperlink"/>
                  <w:rFonts w:cs="Arial"/>
                  <w:sz w:val="20"/>
                  <w:szCs w:val="20"/>
                </w:rPr>
                <w:t>ndol.greaternebraska@nebraska.gov</w:t>
              </w:r>
            </w:hyperlink>
            <w:r w:rsidR="009D2F91" w:rsidRPr="00A93C42">
              <w:rPr>
                <w:rFonts w:cs="Arial"/>
                <w:sz w:val="20"/>
                <w:szCs w:val="20"/>
              </w:rPr>
              <w:t xml:space="preserve"> </w:t>
            </w:r>
          </w:p>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Effective Date</w:t>
            </w:r>
          </w:p>
        </w:tc>
        <w:tc>
          <w:tcPr>
            <w:tcW w:w="1795" w:type="dxa"/>
          </w:tcPr>
          <w:p w:rsidR="00685C25" w:rsidRDefault="00685C25" w:rsidP="00FF4ED8">
            <w:r>
              <w:t>7/1/2017</w:t>
            </w:r>
          </w:p>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 xml:space="preserve">Supersedes </w:t>
            </w:r>
          </w:p>
        </w:tc>
        <w:tc>
          <w:tcPr>
            <w:tcW w:w="1795" w:type="dxa"/>
          </w:tcPr>
          <w:p w:rsidR="00685C25" w:rsidRDefault="00685C25" w:rsidP="00FF4ED8"/>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Revision Date</w:t>
            </w:r>
          </w:p>
        </w:tc>
        <w:tc>
          <w:tcPr>
            <w:tcW w:w="1795" w:type="dxa"/>
          </w:tcPr>
          <w:p w:rsidR="00685C25" w:rsidRDefault="00685C25" w:rsidP="00FF4ED8"/>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 xml:space="preserve">Revision No. </w:t>
            </w:r>
          </w:p>
        </w:tc>
        <w:tc>
          <w:tcPr>
            <w:tcW w:w="1795" w:type="dxa"/>
          </w:tcPr>
          <w:p w:rsidR="00685C25" w:rsidRDefault="00685C25" w:rsidP="00FF4ED8"/>
        </w:tc>
      </w:tr>
      <w:tr w:rsidR="00685C25" w:rsidTr="00FF4ED8">
        <w:tc>
          <w:tcPr>
            <w:tcW w:w="5935" w:type="dxa"/>
            <w:vMerge/>
          </w:tcPr>
          <w:p w:rsidR="00685C25" w:rsidRDefault="00685C25" w:rsidP="00FF4ED8"/>
        </w:tc>
        <w:tc>
          <w:tcPr>
            <w:tcW w:w="1620" w:type="dxa"/>
          </w:tcPr>
          <w:p w:rsidR="00685C25" w:rsidRDefault="00685C25" w:rsidP="00FF4ED8">
            <w:r>
              <w:t xml:space="preserve">Approval </w:t>
            </w:r>
          </w:p>
        </w:tc>
        <w:tc>
          <w:tcPr>
            <w:tcW w:w="1795" w:type="dxa"/>
          </w:tcPr>
          <w:p w:rsidR="00685C25" w:rsidRDefault="00685C25" w:rsidP="00FF4ED8">
            <w:r>
              <w:t xml:space="preserve">GNWDB </w:t>
            </w:r>
          </w:p>
        </w:tc>
      </w:tr>
    </w:tbl>
    <w:p w:rsidR="00AF06FD" w:rsidRDefault="00AF06FD" w:rsidP="00271DC0">
      <w:pPr>
        <w:spacing w:after="0" w:line="240" w:lineRule="auto"/>
        <w:jc w:val="both"/>
        <w:rPr>
          <w:rFonts w:eastAsia="Times New Roman" w:cs="Times New Roman"/>
          <w:b/>
          <w:u w:val="single"/>
        </w:rPr>
      </w:pPr>
    </w:p>
    <w:p w:rsidR="00685C25" w:rsidRPr="00685C25" w:rsidRDefault="00685C25" w:rsidP="00271DC0">
      <w:pPr>
        <w:spacing w:after="0" w:line="240" w:lineRule="auto"/>
        <w:jc w:val="both"/>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Purpose</w:t>
      </w:r>
    </w:p>
    <w:p w:rsidR="00AF06FD" w:rsidRPr="00685C25" w:rsidRDefault="00AF06FD" w:rsidP="00AF06FD">
      <w:pPr>
        <w:spacing w:after="0" w:line="240" w:lineRule="auto"/>
        <w:jc w:val="both"/>
        <w:rPr>
          <w:rFonts w:eastAsia="Times New Roman" w:cs="Times New Roman"/>
        </w:rPr>
      </w:pPr>
      <w:r>
        <w:rPr>
          <w:rFonts w:eastAsia="Times New Roman" w:cs="Times New Roman"/>
        </w:rPr>
        <w:t xml:space="preserve">This policy establishes criteria </w:t>
      </w:r>
      <w:r w:rsidR="0038470C">
        <w:rPr>
          <w:rFonts w:eastAsia="Times New Roman" w:cs="Times New Roman"/>
        </w:rPr>
        <w:t xml:space="preserve">in </w:t>
      </w:r>
      <w:r>
        <w:rPr>
          <w:rFonts w:eastAsia="Times New Roman" w:cs="Times New Roman"/>
        </w:rPr>
        <w:t xml:space="preserve">determining </w:t>
      </w:r>
      <w:r w:rsidR="001200A9">
        <w:rPr>
          <w:rFonts w:eastAsia="Times New Roman" w:cs="Times New Roman"/>
        </w:rPr>
        <w:t xml:space="preserve">if additional assistance is needed for training activities under WIOA Title 1B. </w:t>
      </w:r>
    </w:p>
    <w:p w:rsidR="000D091E" w:rsidRDefault="000D091E" w:rsidP="001200A9">
      <w:pPr>
        <w:tabs>
          <w:tab w:val="left" w:pos="3660"/>
        </w:tabs>
        <w:spacing w:after="0" w:line="240" w:lineRule="auto"/>
        <w:jc w:val="both"/>
        <w:rPr>
          <w:rFonts w:eastAsia="Times New Roman" w:cs="Times New Roman"/>
        </w:rPr>
      </w:pPr>
    </w:p>
    <w:p w:rsidR="00685C25" w:rsidRPr="009D2F91" w:rsidRDefault="00685C25" w:rsidP="00271DC0">
      <w:pPr>
        <w:spacing w:after="0" w:line="240" w:lineRule="auto"/>
        <w:jc w:val="both"/>
        <w:rPr>
          <w:rFonts w:eastAsia="+mn-ea" w:cs="Times New Roman"/>
          <w:b/>
          <w:bCs/>
          <w:color w:val="00607F"/>
          <w:kern w:val="24"/>
          <w:sz w:val="28"/>
          <w:szCs w:val="28"/>
          <w:u w:val="single"/>
        </w:rPr>
      </w:pPr>
      <w:r w:rsidRPr="009D2F91">
        <w:rPr>
          <w:rFonts w:eastAsia="+mn-ea" w:cs="Times New Roman"/>
          <w:b/>
          <w:bCs/>
          <w:color w:val="00607F"/>
          <w:kern w:val="24"/>
          <w:sz w:val="28"/>
          <w:szCs w:val="28"/>
          <w:u w:val="single"/>
        </w:rPr>
        <w:t xml:space="preserve">Action </w:t>
      </w:r>
    </w:p>
    <w:p w:rsidR="00AF06FD" w:rsidRDefault="00AF06FD" w:rsidP="00AF06FD">
      <w:pPr>
        <w:spacing w:after="0" w:line="240" w:lineRule="auto"/>
        <w:jc w:val="both"/>
        <w:rPr>
          <w:rFonts w:eastAsia="Times New Roman" w:cs="Times New Roman"/>
        </w:rPr>
      </w:pPr>
      <w:r>
        <w:rPr>
          <w:rFonts w:eastAsia="Times New Roman" w:cs="Times New Roman"/>
        </w:rPr>
        <w:t xml:space="preserve">Effective 7/1/2017, regional managers, workforce coordinators, and other service provider staff must implement this policy. </w:t>
      </w:r>
    </w:p>
    <w:p w:rsidR="00AF06FD" w:rsidRDefault="00AF06FD" w:rsidP="00AF06FD">
      <w:pPr>
        <w:spacing w:after="0" w:line="240" w:lineRule="auto"/>
        <w:jc w:val="both"/>
        <w:rPr>
          <w:rFonts w:eastAsia="Times New Roman" w:cs="Times New Roman"/>
        </w:rPr>
      </w:pPr>
    </w:p>
    <w:p w:rsidR="0040362D" w:rsidRDefault="00685C25" w:rsidP="00271DC0">
      <w:pPr>
        <w:spacing w:after="0" w:line="240" w:lineRule="auto"/>
        <w:jc w:val="both"/>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 xml:space="preserve">Policy </w:t>
      </w:r>
    </w:p>
    <w:p w:rsidR="0040362D" w:rsidRPr="00A64DA7" w:rsidRDefault="0040362D" w:rsidP="0040362D">
      <w:pPr>
        <w:pStyle w:val="Default"/>
        <w:spacing w:before="240" w:after="240"/>
        <w:rPr>
          <w:rFonts w:ascii="Times New Roman" w:hAnsi="Times New Roman" w:cs="Times New Roman"/>
          <w:sz w:val="16"/>
          <w:szCs w:val="16"/>
        </w:rPr>
      </w:pPr>
      <w:r w:rsidRPr="00A64DA7">
        <w:rPr>
          <w:rFonts w:ascii="Times New Roman" w:hAnsi="Times New Roman" w:cs="Times New Roman"/>
          <w:sz w:val="23"/>
          <w:szCs w:val="23"/>
        </w:rPr>
        <w:t>When making the determination about whether an individual requires assistance, a One-Stop operator may take into consideration the full cost of participating in training services, including the costs of dependent care and transportation, and other appropriate costs.</w:t>
      </w:r>
      <w:r>
        <w:rPr>
          <w:rStyle w:val="FootnoteReference"/>
          <w:rFonts w:ascii="Times New Roman" w:hAnsi="Times New Roman" w:cs="Times New Roman"/>
          <w:sz w:val="23"/>
          <w:szCs w:val="23"/>
        </w:rPr>
        <w:footnoteReference w:id="1"/>
      </w:r>
    </w:p>
    <w:p w:rsidR="00C26E9E" w:rsidRPr="00C26E9E" w:rsidRDefault="00C26E9E" w:rsidP="00C26E9E">
      <w:pPr>
        <w:spacing w:after="0" w:line="240" w:lineRule="auto"/>
        <w:jc w:val="both"/>
        <w:rPr>
          <w:rFonts w:eastAsia="Times New Roman" w:cs="Times New Roman"/>
        </w:rPr>
      </w:pPr>
      <w:r w:rsidRPr="00C26E9E">
        <w:rPr>
          <w:rFonts w:eastAsia="Times New Roman" w:cs="Times New Roman"/>
        </w:rPr>
        <w:t>The Greater Nebraska</w:t>
      </w:r>
      <w:r w:rsidRPr="00C26E9E">
        <w:rPr>
          <w:rFonts w:eastAsia="Times New Roman" w:cs="Times New Roman"/>
        </w:rPr>
        <w:t xml:space="preserve"> Workforce Development Board defines “requires additional assistance to complete an educational program or to secure and hold employment” as meeting one or more of the following applications:</w:t>
      </w:r>
    </w:p>
    <w:p w:rsidR="00C26E9E" w:rsidRPr="00C26E9E" w:rsidRDefault="00C26E9E" w:rsidP="00C26E9E">
      <w:pPr>
        <w:spacing w:after="0" w:line="240" w:lineRule="auto"/>
        <w:jc w:val="both"/>
        <w:rPr>
          <w:rFonts w:eastAsia="Times New Roman" w:cs="Times New Roman"/>
        </w:rPr>
      </w:pPr>
    </w:p>
    <w:p w:rsidR="00C26E9E" w:rsidRPr="00C26E9E" w:rsidRDefault="00C26E9E" w:rsidP="00C26E9E">
      <w:pPr>
        <w:numPr>
          <w:ilvl w:val="0"/>
          <w:numId w:val="8"/>
        </w:numPr>
        <w:tabs>
          <w:tab w:val="left" w:pos="-1180"/>
          <w:tab w:val="left" w:pos="-720"/>
          <w:tab w:val="left" w:pos="0"/>
          <w:tab w:val="left" w:pos="360"/>
          <w:tab w:val="left" w:pos="720"/>
          <w:tab w:val="left" w:pos="1080"/>
          <w:tab w:val="left" w:pos="1440"/>
          <w:tab w:val="righ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eastAsia="Times New Roman" w:cs="Times New Roman"/>
        </w:rPr>
      </w:pPr>
      <w:r w:rsidRPr="00C26E9E">
        <w:rPr>
          <w:rFonts w:eastAsia="Times New Roman" w:cs="Times New Roman"/>
        </w:rPr>
        <w:t>Youth who have not completed high school or other educational programs necessary to secure and maintain entry-level employment;</w:t>
      </w:r>
    </w:p>
    <w:p w:rsidR="00C26E9E" w:rsidRPr="00C26E9E" w:rsidRDefault="00C26E9E" w:rsidP="00C26E9E">
      <w:pPr>
        <w:numPr>
          <w:ilvl w:val="0"/>
          <w:numId w:val="8"/>
        </w:numPr>
        <w:tabs>
          <w:tab w:val="left" w:pos="-1180"/>
          <w:tab w:val="left" w:pos="-720"/>
          <w:tab w:val="left" w:pos="0"/>
          <w:tab w:val="left" w:pos="360"/>
          <w:tab w:val="left" w:pos="720"/>
          <w:tab w:val="left" w:pos="1080"/>
          <w:tab w:val="left" w:pos="1440"/>
          <w:tab w:val="righ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eastAsia="Times New Roman" w:cs="Times New Roman"/>
        </w:rPr>
      </w:pPr>
      <w:r w:rsidRPr="00C26E9E">
        <w:rPr>
          <w:rFonts w:eastAsia="Times New Roman" w:cs="Times New Roman"/>
        </w:rPr>
        <w:t>Youth who are deficient in basic skills and/or pre-employment/work maturity skills, including those needing English as a Second Language instruction and remedial training for GED;</w:t>
      </w:r>
    </w:p>
    <w:p w:rsidR="00C26E9E" w:rsidRPr="00C26E9E" w:rsidRDefault="00C26E9E" w:rsidP="00C26E9E">
      <w:pPr>
        <w:numPr>
          <w:ilvl w:val="0"/>
          <w:numId w:val="8"/>
        </w:numPr>
        <w:tabs>
          <w:tab w:val="left" w:pos="-1180"/>
          <w:tab w:val="left" w:pos="-720"/>
          <w:tab w:val="left" w:pos="0"/>
          <w:tab w:val="left" w:pos="360"/>
          <w:tab w:val="left" w:pos="720"/>
          <w:tab w:val="left" w:pos="1080"/>
          <w:tab w:val="left" w:pos="1440"/>
          <w:tab w:val="righ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eastAsia="Times New Roman" w:cs="Times New Roman"/>
        </w:rPr>
      </w:pPr>
      <w:r w:rsidRPr="00C26E9E">
        <w:rPr>
          <w:rFonts w:eastAsia="Times New Roman" w:cs="Times New Roman"/>
        </w:rPr>
        <w:t xml:space="preserve">Youth who have been identified as a dropout risk, unlikely to graduate due to a lack of credits, and other risk factors cited by school, law enforcement, or community officials such as eligibility to receive free or reduced lunch benefits; </w:t>
      </w:r>
    </w:p>
    <w:p w:rsidR="00C26E9E" w:rsidRPr="00C26E9E" w:rsidRDefault="00C26E9E" w:rsidP="00C26E9E">
      <w:pPr>
        <w:numPr>
          <w:ilvl w:val="0"/>
          <w:numId w:val="8"/>
        </w:numPr>
        <w:tabs>
          <w:tab w:val="left" w:pos="-1180"/>
          <w:tab w:val="left" w:pos="-720"/>
          <w:tab w:val="left" w:pos="0"/>
          <w:tab w:val="left" w:pos="360"/>
          <w:tab w:val="left" w:pos="720"/>
          <w:tab w:val="left" w:pos="1080"/>
          <w:tab w:val="left" w:pos="1440"/>
          <w:tab w:val="righ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eastAsia="Times New Roman" w:cs="Times New Roman"/>
        </w:rPr>
      </w:pPr>
      <w:r w:rsidRPr="00C26E9E">
        <w:rPr>
          <w:rFonts w:eastAsia="Times New Roman" w:cs="Times New Roman"/>
        </w:rPr>
        <w:t>Youth who are defined as “neediest” – youth in foster care (especially those</w:t>
      </w:r>
      <w:bookmarkStart w:id="0" w:name="_GoBack"/>
      <w:bookmarkEnd w:id="0"/>
      <w:r w:rsidRPr="00C26E9E">
        <w:rPr>
          <w:rFonts w:eastAsia="Times New Roman" w:cs="Times New Roman"/>
        </w:rPr>
        <w:t xml:space="preserve"> aging out of foster care), youth in the juvenile justice system, children of incarcerated parents, migrant youth, Native American youth, Indian youth, and youth with disabilities including learning disabilities;</w:t>
      </w:r>
    </w:p>
    <w:p w:rsidR="00C26E9E" w:rsidRPr="00C26E9E" w:rsidRDefault="00C26E9E" w:rsidP="00C26E9E">
      <w:pPr>
        <w:numPr>
          <w:ilvl w:val="0"/>
          <w:numId w:val="8"/>
        </w:numPr>
        <w:tabs>
          <w:tab w:val="left" w:pos="-1180"/>
          <w:tab w:val="left" w:pos="-720"/>
          <w:tab w:val="left" w:pos="0"/>
          <w:tab w:val="left" w:pos="360"/>
          <w:tab w:val="left" w:pos="720"/>
          <w:tab w:val="left" w:pos="1080"/>
          <w:tab w:val="left" w:pos="1440"/>
          <w:tab w:val="righ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eastAsia="Times New Roman" w:cs="Times New Roman"/>
        </w:rPr>
      </w:pPr>
      <w:r w:rsidRPr="00C26E9E">
        <w:rPr>
          <w:rFonts w:eastAsia="Times New Roman" w:cs="Times New Roman"/>
        </w:rPr>
        <w:t xml:space="preserve">Youth residing in a defined Area of Substantial Unemployment and/or in the core of the city of Lincoln; </w:t>
      </w:r>
    </w:p>
    <w:p w:rsidR="00C26E9E" w:rsidRPr="00C26E9E" w:rsidRDefault="00C26E9E" w:rsidP="00C26E9E">
      <w:pPr>
        <w:numPr>
          <w:ilvl w:val="0"/>
          <w:numId w:val="8"/>
        </w:numPr>
        <w:tabs>
          <w:tab w:val="left" w:pos="-1180"/>
          <w:tab w:val="left" w:pos="-720"/>
          <w:tab w:val="left" w:pos="0"/>
          <w:tab w:val="left" w:pos="360"/>
          <w:tab w:val="left" w:pos="720"/>
          <w:tab w:val="left" w:pos="1080"/>
          <w:tab w:val="left" w:pos="1440"/>
          <w:tab w:val="righ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eastAsia="Times New Roman" w:cs="Times New Roman"/>
        </w:rPr>
      </w:pPr>
      <w:r w:rsidRPr="00C26E9E">
        <w:rPr>
          <w:rFonts w:eastAsia="Times New Roman" w:cs="Times New Roman"/>
        </w:rPr>
        <w:t>Youth who have been unable to obtain or secure employment during the last six months</w:t>
      </w:r>
    </w:p>
    <w:p w:rsidR="00C26E9E" w:rsidRPr="00C26E9E" w:rsidRDefault="00C26E9E" w:rsidP="001200A9">
      <w:pPr>
        <w:spacing w:before="240" w:after="240" w:line="240" w:lineRule="auto"/>
        <w:jc w:val="both"/>
        <w:rPr>
          <w:rFonts w:cs="Times New Roman"/>
          <w:sz w:val="23"/>
          <w:szCs w:val="23"/>
        </w:rPr>
      </w:pPr>
      <w:r w:rsidRPr="00C26E9E">
        <w:rPr>
          <w:rFonts w:cs="Times New Roman"/>
          <w:sz w:val="23"/>
          <w:szCs w:val="23"/>
        </w:rPr>
        <w:t>The case file must contain a determination of need for training services under 20 CFR § 680.210 as determined through the interview, evaluation, or assessment, and career planning informed by local market information and training provider performance information, or through any other career service received. There is no requirement that career services be provided as a condition to receipt of training services; however, if career services are not provided before training, the local board must document the circumstances that justified its determination to provide training without first providing the services described in 20 CFR § 680.220.</w:t>
      </w:r>
      <w:r>
        <w:rPr>
          <w:rStyle w:val="FootnoteReference"/>
          <w:rFonts w:cs="Times New Roman"/>
          <w:sz w:val="23"/>
          <w:szCs w:val="23"/>
        </w:rPr>
        <w:footnoteReference w:id="2"/>
      </w:r>
      <w:r w:rsidRPr="00C26E9E">
        <w:rPr>
          <w:rFonts w:cs="Times New Roman"/>
          <w:sz w:val="16"/>
          <w:szCs w:val="16"/>
        </w:rPr>
        <w:t xml:space="preserve"> </w:t>
      </w:r>
      <w:r w:rsidRPr="00C26E9E">
        <w:rPr>
          <w:rFonts w:cs="Times New Roman"/>
          <w:sz w:val="23"/>
          <w:szCs w:val="23"/>
        </w:rPr>
        <w:t>There is no Federally-required minimum time period for participation in career services before receiving training services.</w:t>
      </w:r>
      <w:r>
        <w:rPr>
          <w:rStyle w:val="FootnoteReference"/>
          <w:rFonts w:cs="Times New Roman"/>
          <w:sz w:val="23"/>
          <w:szCs w:val="23"/>
        </w:rPr>
        <w:footnoteReference w:id="3"/>
      </w:r>
    </w:p>
    <w:p w:rsidR="00685C25" w:rsidRPr="00685C25" w:rsidRDefault="00685C25" w:rsidP="00685C25">
      <w:pPr>
        <w:spacing w:after="0" w:line="240" w:lineRule="auto"/>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Disclaimer</w:t>
      </w:r>
    </w:p>
    <w:p w:rsidR="00685C25" w:rsidRPr="00685C25" w:rsidRDefault="00685C25" w:rsidP="00685C25">
      <w:pPr>
        <w:spacing w:after="0" w:line="240" w:lineRule="auto"/>
        <w:jc w:val="both"/>
        <w:rPr>
          <w:rFonts w:eastAsia="Times New Roman" w:cs="Times New Roman"/>
        </w:rPr>
      </w:pPr>
      <w:r w:rsidRPr="00685C25">
        <w:rPr>
          <w:rFonts w:eastAsia="Times New Roman" w:cs="Times New Roman"/>
        </w:rPr>
        <w:t>This policy is based on Greater Nebraska’s reading of the applicable statutes, regulations, rules and guidance released by the U.S. Government and the State of Nebraska.  This policy is subject to change as revised or additional statutes, regulations, rules and guidance are issued.</w:t>
      </w:r>
    </w:p>
    <w:p w:rsidR="00EA508E" w:rsidRDefault="00EA508E"/>
    <w:sectPr w:rsidR="00EA508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BD1" w:rsidRDefault="00E54BD1" w:rsidP="00E54BD1">
      <w:pPr>
        <w:spacing w:after="0" w:line="240" w:lineRule="auto"/>
      </w:pPr>
      <w:r>
        <w:separator/>
      </w:r>
    </w:p>
  </w:endnote>
  <w:endnote w:type="continuationSeparator" w:id="0">
    <w:p w:rsidR="00E54BD1" w:rsidRDefault="00E54BD1" w:rsidP="00E5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650107"/>
      <w:docPartObj>
        <w:docPartGallery w:val="Page Numbers (Bottom of Page)"/>
        <w:docPartUnique/>
      </w:docPartObj>
    </w:sdtPr>
    <w:sdtEndPr/>
    <w:sdtContent>
      <w:sdt>
        <w:sdtPr>
          <w:id w:val="-1769616900"/>
          <w:docPartObj>
            <w:docPartGallery w:val="Page Numbers (Top of Page)"/>
            <w:docPartUnique/>
          </w:docPartObj>
        </w:sdtPr>
        <w:sdtEndPr/>
        <w:sdtContent>
          <w:p w:rsidR="009D2F91" w:rsidRDefault="009D2F91">
            <w:pPr>
              <w:pStyle w:val="Footer"/>
              <w:jc w:val="right"/>
            </w:pPr>
            <w:r w:rsidRPr="009D2F91">
              <w:rPr>
                <w:sz w:val="20"/>
                <w:szCs w:val="20"/>
              </w:rPr>
              <w:t xml:space="preserve">Page </w:t>
            </w:r>
            <w:r w:rsidRPr="009D2F91">
              <w:rPr>
                <w:b/>
                <w:bCs/>
                <w:sz w:val="20"/>
                <w:szCs w:val="20"/>
              </w:rPr>
              <w:fldChar w:fldCharType="begin"/>
            </w:r>
            <w:r w:rsidRPr="009D2F91">
              <w:rPr>
                <w:b/>
                <w:bCs/>
                <w:sz w:val="20"/>
                <w:szCs w:val="20"/>
              </w:rPr>
              <w:instrText xml:space="preserve"> PAGE </w:instrText>
            </w:r>
            <w:r w:rsidRPr="009D2F91">
              <w:rPr>
                <w:b/>
                <w:bCs/>
                <w:sz w:val="20"/>
                <w:szCs w:val="20"/>
              </w:rPr>
              <w:fldChar w:fldCharType="separate"/>
            </w:r>
            <w:r w:rsidR="00C26E9E">
              <w:rPr>
                <w:b/>
                <w:bCs/>
                <w:noProof/>
                <w:sz w:val="20"/>
                <w:szCs w:val="20"/>
              </w:rPr>
              <w:t>2</w:t>
            </w:r>
            <w:r w:rsidRPr="009D2F91">
              <w:rPr>
                <w:b/>
                <w:bCs/>
                <w:sz w:val="20"/>
                <w:szCs w:val="20"/>
              </w:rPr>
              <w:fldChar w:fldCharType="end"/>
            </w:r>
            <w:r w:rsidRPr="009D2F91">
              <w:rPr>
                <w:sz w:val="20"/>
                <w:szCs w:val="20"/>
              </w:rPr>
              <w:t xml:space="preserve"> of </w:t>
            </w:r>
            <w:r w:rsidRPr="009D2F91">
              <w:rPr>
                <w:b/>
                <w:bCs/>
                <w:sz w:val="20"/>
                <w:szCs w:val="20"/>
              </w:rPr>
              <w:fldChar w:fldCharType="begin"/>
            </w:r>
            <w:r w:rsidRPr="009D2F91">
              <w:rPr>
                <w:b/>
                <w:bCs/>
                <w:sz w:val="20"/>
                <w:szCs w:val="20"/>
              </w:rPr>
              <w:instrText xml:space="preserve"> NUMPAGES  </w:instrText>
            </w:r>
            <w:r w:rsidRPr="009D2F91">
              <w:rPr>
                <w:b/>
                <w:bCs/>
                <w:sz w:val="20"/>
                <w:szCs w:val="20"/>
              </w:rPr>
              <w:fldChar w:fldCharType="separate"/>
            </w:r>
            <w:r w:rsidR="00C26E9E">
              <w:rPr>
                <w:b/>
                <w:bCs/>
                <w:noProof/>
                <w:sz w:val="20"/>
                <w:szCs w:val="20"/>
              </w:rPr>
              <w:t>2</w:t>
            </w:r>
            <w:r w:rsidRPr="009D2F91">
              <w:rPr>
                <w:b/>
                <w:bCs/>
                <w:sz w:val="20"/>
                <w:szCs w:val="20"/>
              </w:rPr>
              <w:fldChar w:fldCharType="end"/>
            </w:r>
          </w:p>
        </w:sdtContent>
      </w:sdt>
    </w:sdtContent>
  </w:sdt>
  <w:p w:rsidR="009D2F91" w:rsidRDefault="009D2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BD1" w:rsidRDefault="00E54BD1" w:rsidP="00E54BD1">
      <w:pPr>
        <w:spacing w:after="0" w:line="240" w:lineRule="auto"/>
      </w:pPr>
      <w:r>
        <w:separator/>
      </w:r>
    </w:p>
  </w:footnote>
  <w:footnote w:type="continuationSeparator" w:id="0">
    <w:p w:rsidR="00E54BD1" w:rsidRDefault="00E54BD1" w:rsidP="00E54BD1">
      <w:pPr>
        <w:spacing w:after="0" w:line="240" w:lineRule="auto"/>
      </w:pPr>
      <w:r>
        <w:continuationSeparator/>
      </w:r>
    </w:p>
  </w:footnote>
  <w:footnote w:id="1">
    <w:p w:rsidR="0040362D" w:rsidRPr="00D67ABA" w:rsidRDefault="0040362D" w:rsidP="0040362D">
      <w:pPr>
        <w:pStyle w:val="FootnoteText"/>
        <w:rPr>
          <w:rFonts w:ascii="Times New Roman" w:hAnsi="Times New Roman"/>
        </w:rPr>
      </w:pPr>
      <w:r w:rsidRPr="00D67ABA">
        <w:rPr>
          <w:rStyle w:val="FootnoteReference"/>
          <w:rFonts w:ascii="Times New Roman" w:hAnsi="Times New Roman"/>
        </w:rPr>
        <w:footnoteRef/>
      </w:r>
      <w:r w:rsidRPr="00D67ABA">
        <w:rPr>
          <w:rFonts w:ascii="Times New Roman" w:hAnsi="Times New Roman"/>
        </w:rPr>
        <w:t xml:space="preserve"> WIOA Section 134(c)(3)(B)(</w:t>
      </w:r>
      <w:proofErr w:type="spellStart"/>
      <w:r w:rsidRPr="00D67ABA">
        <w:rPr>
          <w:rFonts w:ascii="Times New Roman" w:hAnsi="Times New Roman"/>
        </w:rPr>
        <w:t>i</w:t>
      </w:r>
      <w:proofErr w:type="spellEnd"/>
      <w:r w:rsidRPr="00D67ABA">
        <w:rPr>
          <w:rFonts w:ascii="Times New Roman" w:hAnsi="Times New Roman"/>
        </w:rPr>
        <w:t xml:space="preserve">)  </w:t>
      </w:r>
    </w:p>
  </w:footnote>
  <w:footnote w:id="2">
    <w:p w:rsidR="00C26E9E" w:rsidRPr="00D67ABA" w:rsidRDefault="00C26E9E" w:rsidP="00C26E9E">
      <w:pPr>
        <w:pStyle w:val="FootnoteText"/>
        <w:rPr>
          <w:rFonts w:ascii="Times New Roman" w:hAnsi="Times New Roman"/>
        </w:rPr>
      </w:pPr>
      <w:r w:rsidRPr="00D67ABA">
        <w:rPr>
          <w:rStyle w:val="FootnoteReference"/>
          <w:rFonts w:ascii="Times New Roman" w:hAnsi="Times New Roman"/>
        </w:rPr>
        <w:footnoteRef/>
      </w:r>
      <w:r w:rsidRPr="00D67ABA">
        <w:rPr>
          <w:rFonts w:ascii="Times New Roman" w:hAnsi="Times New Roman"/>
        </w:rPr>
        <w:t xml:space="preserve"> 20 CFR § 680.220(b)  </w:t>
      </w:r>
    </w:p>
  </w:footnote>
  <w:footnote w:id="3">
    <w:p w:rsidR="00C26E9E" w:rsidRPr="00D67ABA" w:rsidRDefault="00C26E9E" w:rsidP="00C26E9E">
      <w:pPr>
        <w:pStyle w:val="FootnoteText"/>
        <w:rPr>
          <w:rFonts w:ascii="Times New Roman" w:hAnsi="Times New Roman"/>
        </w:rPr>
      </w:pPr>
      <w:r w:rsidRPr="00D67ABA">
        <w:rPr>
          <w:rStyle w:val="FootnoteReference"/>
          <w:rFonts w:ascii="Times New Roman" w:hAnsi="Times New Roman"/>
        </w:rPr>
        <w:footnoteRef/>
      </w:r>
      <w:r w:rsidRPr="00D67ABA">
        <w:rPr>
          <w:rFonts w:ascii="Times New Roman" w:hAnsi="Times New Roman"/>
        </w:rPr>
        <w:t xml:space="preserve"> 20 CFR § 680.220(c)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BD1" w:rsidRDefault="00E54BD1">
    <w:pPr>
      <w:pStyle w:val="Header"/>
    </w:pPr>
  </w:p>
  <w:p w:rsidR="00A65917" w:rsidRDefault="00A65917">
    <w:pPr>
      <w:pStyle w:val="Header"/>
    </w:pPr>
  </w:p>
  <w:p w:rsidR="00E54BD1" w:rsidRDefault="00E54BD1">
    <w:pPr>
      <w:pStyle w:val="Header"/>
    </w:pPr>
    <w:r>
      <w:rPr>
        <w:rFonts w:cs="Arial"/>
        <w:b/>
        <w:noProof/>
        <w:color w:val="008080"/>
      </w:rPr>
      <w:drawing>
        <wp:anchor distT="0" distB="0" distL="114300" distR="114300" simplePos="0" relativeHeight="251659264" behindDoc="1" locked="0" layoutInCell="1" allowOverlap="1">
          <wp:simplePos x="0" y="0"/>
          <wp:positionH relativeFrom="margin">
            <wp:align>right</wp:align>
          </wp:positionH>
          <wp:positionV relativeFrom="paragraph">
            <wp:posOffset>-190500</wp:posOffset>
          </wp:positionV>
          <wp:extent cx="1725871" cy="552450"/>
          <wp:effectExtent l="0" t="0" r="8255" b="0"/>
          <wp:wrapNone/>
          <wp:docPr id="9" name="Picture 9" descr="This graphic reads as: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graphic reads as:  American Job Center Netwo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871"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-38100</wp:posOffset>
          </wp:positionH>
          <wp:positionV relativeFrom="paragraph">
            <wp:posOffset>-309245</wp:posOffset>
          </wp:positionV>
          <wp:extent cx="4027170" cy="761933"/>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ef Elected Officials Board.jpg"/>
                  <pic:cNvPicPr/>
                </pic:nvPicPr>
                <pic:blipFill rotWithShape="1">
                  <a:blip r:embed="rId2" cstate="print">
                    <a:extLst>
                      <a:ext uri="{28A0092B-C50C-407E-A947-70E740481C1C}">
                        <a14:useLocalDpi xmlns:a14="http://schemas.microsoft.com/office/drawing/2010/main" val="0"/>
                      </a:ext>
                    </a:extLst>
                  </a:blip>
                  <a:srcRect l="8422" t="25366" r="10572" b="18271"/>
                  <a:stretch/>
                </pic:blipFill>
                <pic:spPr bwMode="auto">
                  <a:xfrm>
                    <a:off x="0" y="0"/>
                    <a:ext cx="4027170" cy="761933"/>
                  </a:xfrm>
                  <a:prstGeom prst="rect">
                    <a:avLst/>
                  </a:prstGeom>
                  <a:ln>
                    <a:noFill/>
                  </a:ln>
                  <a:extLst>
                    <a:ext uri="{53640926-AAD7-44D8-BBD7-CCE9431645EC}">
                      <a14:shadowObscured xmlns:a14="http://schemas.microsoft.com/office/drawing/2010/main"/>
                    </a:ext>
                  </a:extLst>
                </pic:spPr>
              </pic:pic>
            </a:graphicData>
          </a:graphic>
        </wp:anchor>
      </w:drawing>
    </w:r>
  </w:p>
  <w:p w:rsidR="00E54BD1" w:rsidRPr="00E54BD1" w:rsidRDefault="00E54BD1" w:rsidP="00E54BD1">
    <w:pPr>
      <w:pStyle w:val="Header"/>
      <w:ind w:right="-18"/>
      <w:rPr>
        <w:rFonts w:cs="Arial"/>
        <w:b/>
      </w:rPr>
    </w:pPr>
    <w:r w:rsidRPr="00E54BD1">
      <w:rPr>
        <w:rFonts w:cs="Arial"/>
        <w:b/>
      </w:rPr>
      <w:tab/>
      <w:t xml:space="preserve">                                       </w:t>
    </w:r>
  </w:p>
  <w:p w:rsidR="00685C25" w:rsidRDefault="00685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48DC"/>
    <w:multiLevelType w:val="hybridMultilevel"/>
    <w:tmpl w:val="AFB66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D3825"/>
    <w:multiLevelType w:val="hybridMultilevel"/>
    <w:tmpl w:val="5C56E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3A2141"/>
    <w:multiLevelType w:val="hybridMultilevel"/>
    <w:tmpl w:val="B4D620F2"/>
    <w:lvl w:ilvl="0" w:tplc="707243F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C0C38"/>
    <w:multiLevelType w:val="hybridMultilevel"/>
    <w:tmpl w:val="0A8C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266DA0"/>
    <w:multiLevelType w:val="hybridMultilevel"/>
    <w:tmpl w:val="A5E849EE"/>
    <w:lvl w:ilvl="0" w:tplc="62EC4F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726013"/>
    <w:multiLevelType w:val="hybridMultilevel"/>
    <w:tmpl w:val="BCD4C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E932A4"/>
    <w:multiLevelType w:val="hybridMultilevel"/>
    <w:tmpl w:val="DF56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6551E"/>
    <w:multiLevelType w:val="hybridMultilevel"/>
    <w:tmpl w:val="8FEE0E14"/>
    <w:lvl w:ilvl="0" w:tplc="74C63D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D1"/>
    <w:rsid w:val="000D091E"/>
    <w:rsid w:val="001200A9"/>
    <w:rsid w:val="001657D1"/>
    <w:rsid w:val="00180B13"/>
    <w:rsid w:val="001812AD"/>
    <w:rsid w:val="001A6CBC"/>
    <w:rsid w:val="00224FEE"/>
    <w:rsid w:val="00271DC0"/>
    <w:rsid w:val="0038470C"/>
    <w:rsid w:val="0039572C"/>
    <w:rsid w:val="003B7519"/>
    <w:rsid w:val="0040362D"/>
    <w:rsid w:val="004E704B"/>
    <w:rsid w:val="005B0793"/>
    <w:rsid w:val="00660A3F"/>
    <w:rsid w:val="00685C25"/>
    <w:rsid w:val="006F2509"/>
    <w:rsid w:val="0073736B"/>
    <w:rsid w:val="00750CEC"/>
    <w:rsid w:val="007D6F57"/>
    <w:rsid w:val="00857C39"/>
    <w:rsid w:val="00870C91"/>
    <w:rsid w:val="009231B2"/>
    <w:rsid w:val="00965A8E"/>
    <w:rsid w:val="009D2F91"/>
    <w:rsid w:val="009D4221"/>
    <w:rsid w:val="009E5E0D"/>
    <w:rsid w:val="00A65917"/>
    <w:rsid w:val="00A93C42"/>
    <w:rsid w:val="00AF06FD"/>
    <w:rsid w:val="00BE7F01"/>
    <w:rsid w:val="00C05156"/>
    <w:rsid w:val="00C06578"/>
    <w:rsid w:val="00C26E9E"/>
    <w:rsid w:val="00CD1695"/>
    <w:rsid w:val="00DA155F"/>
    <w:rsid w:val="00E54BD1"/>
    <w:rsid w:val="00E7754D"/>
    <w:rsid w:val="00EA508E"/>
    <w:rsid w:val="00F528B1"/>
    <w:rsid w:val="00F6054E"/>
    <w:rsid w:val="00FE2237"/>
    <w:rsid w:val="00FE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557305E-F948-48E0-A7CC-AE90473E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D1"/>
  </w:style>
  <w:style w:type="paragraph" w:styleId="Footer">
    <w:name w:val="footer"/>
    <w:basedOn w:val="Normal"/>
    <w:link w:val="FooterChar"/>
    <w:uiPriority w:val="99"/>
    <w:unhideWhenUsed/>
    <w:rsid w:val="00E5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D1"/>
  </w:style>
  <w:style w:type="character" w:styleId="Hyperlink">
    <w:name w:val="Hyperlink"/>
    <w:uiPriority w:val="99"/>
    <w:rsid w:val="00E54BD1"/>
    <w:rPr>
      <w:color w:val="0000FF"/>
      <w:u w:val="single"/>
    </w:rPr>
  </w:style>
  <w:style w:type="table" w:styleId="TableGrid">
    <w:name w:val="Table Grid"/>
    <w:basedOn w:val="TableNormal"/>
    <w:rsid w:val="00E54B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D1"/>
    <w:rPr>
      <w:rFonts w:ascii="Segoe UI" w:hAnsi="Segoe UI" w:cs="Segoe UI"/>
      <w:sz w:val="18"/>
      <w:szCs w:val="18"/>
    </w:rPr>
  </w:style>
  <w:style w:type="paragraph" w:styleId="FootnoteText">
    <w:name w:val="footnote text"/>
    <w:basedOn w:val="Normal"/>
    <w:link w:val="FootnoteTextChar"/>
    <w:rsid w:val="00685C2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685C25"/>
    <w:rPr>
      <w:rFonts w:ascii="Arial" w:eastAsia="Times New Roman" w:hAnsi="Arial" w:cs="Times New Roman"/>
      <w:sz w:val="20"/>
      <w:szCs w:val="20"/>
    </w:rPr>
  </w:style>
  <w:style w:type="character" w:styleId="FootnoteReference">
    <w:name w:val="footnote reference"/>
    <w:basedOn w:val="DefaultParagraphFont"/>
    <w:rsid w:val="00685C25"/>
    <w:rPr>
      <w:vertAlign w:val="superscript"/>
    </w:rPr>
  </w:style>
  <w:style w:type="paragraph" w:styleId="NormalWeb">
    <w:name w:val="Normal (Web)"/>
    <w:basedOn w:val="Normal"/>
    <w:uiPriority w:val="99"/>
    <w:semiHidden/>
    <w:unhideWhenUsed/>
    <w:rsid w:val="009D2F91"/>
    <w:pPr>
      <w:spacing w:before="100" w:beforeAutospacing="1" w:after="100" w:afterAutospacing="1" w:line="240" w:lineRule="auto"/>
    </w:pPr>
    <w:rPr>
      <w:rFonts w:eastAsia="Times New Roman" w:cs="Times New Roman"/>
      <w:sz w:val="24"/>
      <w:szCs w:val="24"/>
    </w:rPr>
  </w:style>
  <w:style w:type="paragraph" w:customStyle="1" w:styleId="Default">
    <w:name w:val="Default"/>
    <w:rsid w:val="00750CE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E5E0D"/>
    <w:pPr>
      <w:widowControl w:val="0"/>
      <w:spacing w:after="0" w:line="240" w:lineRule="auto"/>
      <w:ind w:left="1207"/>
    </w:pPr>
    <w:rPr>
      <w:rFonts w:ascii="Arial" w:eastAsia="Arial" w:hAnsi="Arial"/>
      <w:sz w:val="21"/>
      <w:szCs w:val="21"/>
    </w:rPr>
  </w:style>
  <w:style w:type="character" w:customStyle="1" w:styleId="BodyTextChar">
    <w:name w:val="Body Text Char"/>
    <w:basedOn w:val="DefaultParagraphFont"/>
    <w:link w:val="BodyText"/>
    <w:uiPriority w:val="1"/>
    <w:rsid w:val="009E5E0D"/>
    <w:rPr>
      <w:rFonts w:ascii="Arial" w:eastAsia="Arial" w:hAnsi="Arial"/>
      <w:sz w:val="21"/>
      <w:szCs w:val="21"/>
    </w:rPr>
  </w:style>
  <w:style w:type="paragraph" w:styleId="ListParagraph">
    <w:name w:val="List Paragraph"/>
    <w:basedOn w:val="Normal"/>
    <w:uiPriority w:val="34"/>
    <w:qFormat/>
    <w:rsid w:val="00395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7766">
      <w:bodyDiv w:val="1"/>
      <w:marLeft w:val="0"/>
      <w:marRight w:val="0"/>
      <w:marTop w:val="0"/>
      <w:marBottom w:val="0"/>
      <w:divBdr>
        <w:top w:val="none" w:sz="0" w:space="0" w:color="auto"/>
        <w:left w:val="none" w:sz="0" w:space="0" w:color="auto"/>
        <w:bottom w:val="none" w:sz="0" w:space="0" w:color="auto"/>
        <w:right w:val="none" w:sz="0" w:space="0" w:color="auto"/>
      </w:divBdr>
    </w:div>
    <w:div w:id="1001349366">
      <w:bodyDiv w:val="1"/>
      <w:marLeft w:val="0"/>
      <w:marRight w:val="0"/>
      <w:marTop w:val="0"/>
      <w:marBottom w:val="0"/>
      <w:divBdr>
        <w:top w:val="none" w:sz="0" w:space="0" w:color="auto"/>
        <w:left w:val="none" w:sz="0" w:space="0" w:color="auto"/>
        <w:bottom w:val="none" w:sz="0" w:space="0" w:color="auto"/>
        <w:right w:val="none" w:sz="0" w:space="0" w:color="auto"/>
      </w:divBdr>
    </w:div>
    <w:div w:id="1806046560">
      <w:bodyDiv w:val="1"/>
      <w:marLeft w:val="0"/>
      <w:marRight w:val="0"/>
      <w:marTop w:val="0"/>
      <w:marBottom w:val="0"/>
      <w:divBdr>
        <w:top w:val="none" w:sz="0" w:space="0" w:color="auto"/>
        <w:left w:val="none" w:sz="0" w:space="0" w:color="auto"/>
        <w:bottom w:val="none" w:sz="0" w:space="0" w:color="auto"/>
        <w:right w:val="none" w:sz="0" w:space="0" w:color="auto"/>
      </w:divBdr>
    </w:div>
    <w:div w:id="19544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ol.greaternebraska@nebrask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2F27A-A811-471B-B5BA-84F335A8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Dylan</dc:creator>
  <cp:keywords/>
  <dc:description/>
  <cp:lastModifiedBy>Wren, Dylan</cp:lastModifiedBy>
  <cp:revision>10</cp:revision>
  <cp:lastPrinted>2017-01-19T13:26:00Z</cp:lastPrinted>
  <dcterms:created xsi:type="dcterms:W3CDTF">2017-01-24T22:44:00Z</dcterms:created>
  <dcterms:modified xsi:type="dcterms:W3CDTF">2017-03-14T14:25:00Z</dcterms:modified>
</cp:coreProperties>
</file>