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pPr w:leftFromText="180" w:rightFromText="180" w:vertAnchor="text" w:horzAnchor="margin" w:tblpXSpec="right" w:tblpY="91"/>
        <w:tblW w:w="0" w:type="auto"/>
        <w:tblLook w:val="04A0" w:firstRow="1" w:lastRow="0" w:firstColumn="1" w:lastColumn="0" w:noHBand="0" w:noVBand="1"/>
      </w:tblPr>
      <w:tblGrid>
        <w:gridCol w:w="1620"/>
        <w:gridCol w:w="1795"/>
      </w:tblGrid>
      <w:tr w:rsidR="00E81451" w:rsidRPr="00E81451" w14:paraId="69E57A9C" w14:textId="77777777" w:rsidTr="00E81451">
        <w:tc>
          <w:tcPr>
            <w:tcW w:w="1620" w:type="dxa"/>
          </w:tcPr>
          <w:p w14:paraId="70334DA2" w14:textId="77777777" w:rsidR="00E81451" w:rsidRPr="00E81451" w:rsidRDefault="00E81451" w:rsidP="00E81451">
            <w:pPr>
              <w:rPr>
                <w:rFonts w:ascii="Arial" w:eastAsia="Calibri" w:hAnsi="Arial" w:cs="Arial"/>
                <w:sz w:val="20"/>
                <w:szCs w:val="20"/>
              </w:rPr>
            </w:pPr>
            <w:r w:rsidRPr="00E81451">
              <w:rPr>
                <w:rFonts w:ascii="Arial" w:eastAsia="Calibri" w:hAnsi="Arial" w:cs="Arial"/>
                <w:sz w:val="20"/>
                <w:szCs w:val="20"/>
              </w:rPr>
              <w:t xml:space="preserve">Policy No. </w:t>
            </w:r>
          </w:p>
        </w:tc>
        <w:tc>
          <w:tcPr>
            <w:tcW w:w="1795" w:type="dxa"/>
          </w:tcPr>
          <w:p w14:paraId="7B3636E9" w14:textId="58618F98" w:rsidR="00E81451" w:rsidRPr="00E81451" w:rsidRDefault="00244DDC" w:rsidP="00E81451">
            <w:pPr>
              <w:rPr>
                <w:rFonts w:ascii="Arial" w:eastAsia="Calibri" w:hAnsi="Arial" w:cs="Arial"/>
                <w:sz w:val="72"/>
                <w:szCs w:val="72"/>
              </w:rPr>
            </w:pPr>
            <w:r>
              <w:rPr>
                <w:rFonts w:ascii="Montserrat-Bold" w:eastAsia="Calibri" w:hAnsi="Montserrat-Bold" w:cs="Montserrat-Bold"/>
                <w:b/>
                <w:bCs/>
                <w:color w:val="BB1F53"/>
                <w:sz w:val="72"/>
                <w:szCs w:val="72"/>
              </w:rPr>
              <w:t>15</w:t>
            </w:r>
            <w:bookmarkStart w:id="0" w:name="_GoBack"/>
            <w:bookmarkEnd w:id="0"/>
          </w:p>
        </w:tc>
      </w:tr>
      <w:tr w:rsidR="00E81451" w:rsidRPr="00E81451" w14:paraId="2D105334" w14:textId="77777777" w:rsidTr="00E81451">
        <w:tc>
          <w:tcPr>
            <w:tcW w:w="1620" w:type="dxa"/>
          </w:tcPr>
          <w:p w14:paraId="239D9727" w14:textId="77777777" w:rsidR="00E81451" w:rsidRPr="00E81451" w:rsidRDefault="00E81451" w:rsidP="00E81451">
            <w:pPr>
              <w:rPr>
                <w:rFonts w:ascii="Arial" w:eastAsia="Calibri" w:hAnsi="Arial" w:cs="Arial"/>
                <w:sz w:val="20"/>
                <w:szCs w:val="20"/>
              </w:rPr>
            </w:pPr>
            <w:r w:rsidRPr="00E81451">
              <w:rPr>
                <w:rFonts w:ascii="Arial" w:eastAsia="Calibri" w:hAnsi="Arial" w:cs="Arial"/>
                <w:sz w:val="20"/>
                <w:szCs w:val="20"/>
              </w:rPr>
              <w:t>Effective Date</w:t>
            </w:r>
          </w:p>
        </w:tc>
        <w:tc>
          <w:tcPr>
            <w:tcW w:w="1795" w:type="dxa"/>
          </w:tcPr>
          <w:p w14:paraId="6FBC7CE5" w14:textId="7ABFFBC3" w:rsidR="00E81451" w:rsidRPr="00E81451" w:rsidRDefault="00EB3645" w:rsidP="00E81451">
            <w:pPr>
              <w:rPr>
                <w:rFonts w:ascii="Arial" w:eastAsia="Calibri" w:hAnsi="Arial" w:cs="Arial"/>
                <w:sz w:val="20"/>
                <w:szCs w:val="20"/>
              </w:rPr>
            </w:pPr>
            <w:r>
              <w:rPr>
                <w:rFonts w:ascii="Arial" w:eastAsia="Calibri" w:hAnsi="Arial" w:cs="Arial"/>
                <w:sz w:val="20"/>
                <w:szCs w:val="20"/>
              </w:rPr>
              <w:t>5/23</w:t>
            </w:r>
            <w:r w:rsidR="00FE432E">
              <w:rPr>
                <w:rFonts w:ascii="Arial" w:eastAsia="Calibri" w:hAnsi="Arial" w:cs="Arial"/>
                <w:sz w:val="20"/>
                <w:szCs w:val="20"/>
              </w:rPr>
              <w:t>/2019</w:t>
            </w:r>
          </w:p>
        </w:tc>
      </w:tr>
      <w:tr w:rsidR="00E81451" w:rsidRPr="00E81451" w14:paraId="6470C4E3" w14:textId="77777777" w:rsidTr="00E81451">
        <w:tc>
          <w:tcPr>
            <w:tcW w:w="1620" w:type="dxa"/>
          </w:tcPr>
          <w:p w14:paraId="6654CF06" w14:textId="77777777" w:rsidR="00E81451" w:rsidRPr="00E81451" w:rsidRDefault="00E81451" w:rsidP="00E81451">
            <w:pPr>
              <w:rPr>
                <w:rFonts w:ascii="Arial" w:eastAsia="Calibri" w:hAnsi="Arial" w:cs="Arial"/>
                <w:sz w:val="20"/>
                <w:szCs w:val="20"/>
              </w:rPr>
            </w:pPr>
            <w:r w:rsidRPr="00E81451">
              <w:rPr>
                <w:rFonts w:ascii="Arial" w:eastAsia="Calibri" w:hAnsi="Arial" w:cs="Arial"/>
                <w:sz w:val="20"/>
                <w:szCs w:val="20"/>
              </w:rPr>
              <w:t xml:space="preserve">Approval </w:t>
            </w:r>
          </w:p>
        </w:tc>
        <w:tc>
          <w:tcPr>
            <w:tcW w:w="1795" w:type="dxa"/>
          </w:tcPr>
          <w:p w14:paraId="5E9710EA" w14:textId="77777777" w:rsidR="00E81451" w:rsidRPr="00E81451" w:rsidRDefault="00E81451" w:rsidP="00E81451">
            <w:pPr>
              <w:rPr>
                <w:rFonts w:ascii="Arial" w:eastAsia="Calibri" w:hAnsi="Arial" w:cs="Arial"/>
                <w:sz w:val="20"/>
                <w:szCs w:val="20"/>
              </w:rPr>
            </w:pPr>
            <w:r w:rsidRPr="00E81451">
              <w:rPr>
                <w:rFonts w:ascii="Arial" w:eastAsia="Calibri" w:hAnsi="Arial" w:cs="Arial"/>
                <w:sz w:val="20"/>
                <w:szCs w:val="20"/>
              </w:rPr>
              <w:t xml:space="preserve">GNWDB </w:t>
            </w:r>
          </w:p>
        </w:tc>
      </w:tr>
    </w:tbl>
    <w:p w14:paraId="553E172C" w14:textId="323337B2" w:rsidR="00E81451" w:rsidRPr="00EB3645" w:rsidRDefault="00B22ED9" w:rsidP="00E81451">
      <w:pPr>
        <w:rPr>
          <w:rFonts w:ascii="Arial" w:hAnsi="Arial" w:cs="Arial"/>
          <w:b/>
          <w:bCs/>
          <w:color w:val="00607F"/>
          <w:sz w:val="48"/>
          <w:szCs w:val="48"/>
        </w:rPr>
      </w:pPr>
      <w:r>
        <w:rPr>
          <w:rFonts w:ascii="Arial" w:hAnsi="Arial" w:cs="Arial"/>
          <w:b/>
          <w:bCs/>
          <w:color w:val="00607F"/>
          <w:sz w:val="48"/>
          <w:szCs w:val="48"/>
        </w:rPr>
        <w:t>Personally Identifiable Information Policy</w:t>
      </w:r>
    </w:p>
    <w:p w14:paraId="4A0BE39A" w14:textId="6618842D" w:rsidR="00E81451" w:rsidRDefault="00E81451" w:rsidP="00685C25">
      <w:pPr>
        <w:spacing w:after="0" w:line="240" w:lineRule="auto"/>
        <w:rPr>
          <w:rFonts w:eastAsia="Times New Roman" w:cs="Times New Roman"/>
          <w:b/>
          <w:u w:val="single"/>
        </w:rPr>
      </w:pPr>
    </w:p>
    <w:p w14:paraId="55939999" w14:textId="77777777" w:rsidR="00B22ED9" w:rsidRDefault="00B22ED9" w:rsidP="00685C25">
      <w:pPr>
        <w:spacing w:after="0" w:line="240" w:lineRule="auto"/>
        <w:rPr>
          <w:rFonts w:eastAsia="Times New Roman" w:cs="Times New Roman"/>
          <w:b/>
          <w:u w:val="single"/>
        </w:rPr>
      </w:pPr>
    </w:p>
    <w:p w14:paraId="45276502" w14:textId="77777777" w:rsidR="00685C25" w:rsidRPr="001D3870" w:rsidRDefault="00685C25" w:rsidP="00E124F8">
      <w:pPr>
        <w:spacing w:after="0" w:line="240" w:lineRule="auto"/>
        <w:jc w:val="both"/>
        <w:rPr>
          <w:rFonts w:eastAsia="Times New Roman" w:cs="Times New Roman"/>
          <w:b/>
          <w:color w:val="00607F"/>
          <w:u w:val="single"/>
        </w:rPr>
      </w:pPr>
      <w:r w:rsidRPr="001D3870">
        <w:rPr>
          <w:rFonts w:eastAsia="+mn-ea" w:cs="Times New Roman"/>
          <w:b/>
          <w:bCs/>
          <w:color w:val="00607F"/>
          <w:kern w:val="24"/>
          <w:sz w:val="28"/>
          <w:szCs w:val="28"/>
          <w:u w:val="single"/>
        </w:rPr>
        <w:t>Reference</w:t>
      </w:r>
      <w:r w:rsidR="009D2F91" w:rsidRPr="001D3870">
        <w:rPr>
          <w:rFonts w:eastAsia="Times New Roman" w:cs="Times New Roman"/>
          <w:b/>
          <w:color w:val="00607F"/>
          <w:u w:val="single"/>
        </w:rPr>
        <w:t xml:space="preserve"> </w:t>
      </w:r>
    </w:p>
    <w:p w14:paraId="135AE44E" w14:textId="4C356CD7" w:rsidR="006C784E" w:rsidRPr="00045ECF" w:rsidRDefault="0006267B" w:rsidP="00E124F8">
      <w:pPr>
        <w:spacing w:after="0" w:line="240" w:lineRule="auto"/>
        <w:jc w:val="both"/>
      </w:pPr>
      <w:r w:rsidRPr="0006267B">
        <w:rPr>
          <w:rFonts w:cs="Times New Roman"/>
        </w:rPr>
        <w:t>TEGL 39-11.</w:t>
      </w:r>
    </w:p>
    <w:p w14:paraId="20F5515D" w14:textId="77777777" w:rsidR="009E5E0D" w:rsidRPr="0080664C" w:rsidRDefault="009E5E0D" w:rsidP="00E124F8">
      <w:pPr>
        <w:spacing w:after="0" w:line="240" w:lineRule="auto"/>
        <w:jc w:val="both"/>
        <w:rPr>
          <w:rFonts w:eastAsia="Times New Roman" w:cs="Times New Roman"/>
        </w:rPr>
      </w:pPr>
    </w:p>
    <w:p w14:paraId="7E3F2C21" w14:textId="77777777" w:rsidR="00685C25" w:rsidRPr="0080664C" w:rsidRDefault="00685C25" w:rsidP="00E53209">
      <w:pPr>
        <w:tabs>
          <w:tab w:val="left" w:pos="8595"/>
        </w:tabs>
        <w:spacing w:after="0" w:line="240" w:lineRule="auto"/>
        <w:jc w:val="both"/>
        <w:rPr>
          <w:rFonts w:eastAsia="+mn-ea" w:cs="Times New Roman"/>
          <w:b/>
          <w:bCs/>
          <w:color w:val="00607F"/>
          <w:kern w:val="24"/>
          <w:sz w:val="28"/>
          <w:szCs w:val="28"/>
          <w:u w:val="single"/>
        </w:rPr>
      </w:pPr>
      <w:r w:rsidRPr="0080664C">
        <w:rPr>
          <w:rFonts w:eastAsia="+mn-ea" w:cs="Times New Roman"/>
          <w:b/>
          <w:bCs/>
          <w:color w:val="00607F"/>
          <w:kern w:val="24"/>
          <w:sz w:val="28"/>
          <w:szCs w:val="28"/>
          <w:u w:val="single"/>
        </w:rPr>
        <w:t xml:space="preserve">Policy </w:t>
      </w:r>
      <w:r w:rsidR="00E53209">
        <w:rPr>
          <w:rFonts w:eastAsia="+mn-ea" w:cs="Times New Roman"/>
          <w:b/>
          <w:bCs/>
          <w:color w:val="00607F"/>
          <w:kern w:val="24"/>
          <w:sz w:val="28"/>
          <w:szCs w:val="28"/>
          <w:u w:val="single"/>
        </w:rPr>
        <w:tab/>
      </w:r>
    </w:p>
    <w:p w14:paraId="588CFBE7" w14:textId="77777777" w:rsidR="00045ECF" w:rsidRDefault="00045ECF" w:rsidP="00045ECF">
      <w:pPr>
        <w:spacing w:after="0" w:line="240" w:lineRule="auto"/>
        <w:jc w:val="both"/>
      </w:pPr>
    </w:p>
    <w:p w14:paraId="4C3DCB58" w14:textId="73D67A89" w:rsidR="00EB3645" w:rsidRPr="001056AC" w:rsidRDefault="00225E52" w:rsidP="00EB3645">
      <w:pPr>
        <w:pStyle w:val="Style11"/>
        <w:spacing w:before="0" w:after="0"/>
        <w:jc w:val="both"/>
        <w:rPr>
          <w:rFonts w:ascii="Times New Roman" w:eastAsia="+mn-ea" w:hAnsi="Times New Roman" w:cs="Times New Roman"/>
          <w:b/>
          <w:color w:val="00607F"/>
          <w:kern w:val="24"/>
          <w:sz w:val="24"/>
          <w:szCs w:val="24"/>
        </w:rPr>
      </w:pPr>
      <w:r>
        <w:rPr>
          <w:rFonts w:ascii="Times New Roman" w:eastAsia="+mn-ea" w:hAnsi="Times New Roman" w:cs="Times New Roman"/>
          <w:b/>
          <w:color w:val="00607F"/>
          <w:kern w:val="24"/>
          <w:sz w:val="24"/>
          <w:szCs w:val="24"/>
        </w:rPr>
        <w:t>Personally Identifiable Information</w:t>
      </w:r>
    </w:p>
    <w:p w14:paraId="4249E711" w14:textId="77777777" w:rsidR="00EB3645" w:rsidRPr="00EB3645" w:rsidRDefault="00EB3645" w:rsidP="00EB3645">
      <w:pPr>
        <w:spacing w:after="0" w:line="240" w:lineRule="auto"/>
        <w:jc w:val="both"/>
        <w:rPr>
          <w:rFonts w:cs="Times New Roman"/>
          <w:sz w:val="24"/>
          <w:szCs w:val="24"/>
        </w:rPr>
      </w:pPr>
    </w:p>
    <w:p w14:paraId="3D9FBEEC" w14:textId="2B7CE0E2" w:rsidR="00EB3645" w:rsidRDefault="00C846CB" w:rsidP="007E34DB">
      <w:pPr>
        <w:spacing w:after="0" w:line="240" w:lineRule="auto"/>
        <w:jc w:val="both"/>
        <w:rPr>
          <w:rFonts w:cs="Times New Roman"/>
          <w:sz w:val="24"/>
          <w:szCs w:val="24"/>
        </w:rPr>
      </w:pPr>
      <w:r>
        <w:rPr>
          <w:rFonts w:cs="Times New Roman"/>
          <w:sz w:val="24"/>
          <w:szCs w:val="24"/>
        </w:rPr>
        <w:t xml:space="preserve">The Workforce Innovation Opportunity Act (WIOA) requires that recipients of WIOA Title 1 funds provide personally identifiable information (PII) to access WIOA services. PII and other sensitive information must be protected consistent with applicable Federal, State, and local privacy and confidentiality laws. This policy addresses the security of sensitive and non-sensitive PII, for services offered through WIOA Title I. </w:t>
      </w:r>
    </w:p>
    <w:p w14:paraId="70CC183D" w14:textId="3AAC68D7" w:rsidR="0006267B" w:rsidRDefault="0006267B" w:rsidP="007E34DB">
      <w:pPr>
        <w:spacing w:after="0" w:line="240" w:lineRule="auto"/>
        <w:jc w:val="both"/>
        <w:rPr>
          <w:rFonts w:cs="Times New Roman"/>
          <w:sz w:val="24"/>
          <w:szCs w:val="24"/>
        </w:rPr>
      </w:pPr>
    </w:p>
    <w:p w14:paraId="033EE33D" w14:textId="163A215E" w:rsidR="0006267B" w:rsidRDefault="0006267B" w:rsidP="007E34DB">
      <w:pPr>
        <w:spacing w:after="0" w:line="240" w:lineRule="auto"/>
        <w:jc w:val="both"/>
        <w:rPr>
          <w:rFonts w:cs="Times New Roman"/>
          <w:sz w:val="24"/>
          <w:szCs w:val="24"/>
        </w:rPr>
      </w:pPr>
      <w:r>
        <w:rPr>
          <w:rFonts w:cs="Times New Roman"/>
          <w:sz w:val="24"/>
          <w:szCs w:val="24"/>
        </w:rPr>
        <w:t>The Department of Labor has defined two types of PII, protected PII and Non-sensitive PII. The differences between the two are primarily based on an analysis regarding the risk of harm that could result from the release of the PII.</w:t>
      </w:r>
    </w:p>
    <w:p w14:paraId="7329F3D2" w14:textId="592BE318" w:rsidR="00A6073D" w:rsidRDefault="00A6073D" w:rsidP="007E34DB">
      <w:pPr>
        <w:spacing w:after="0" w:line="240" w:lineRule="auto"/>
        <w:jc w:val="both"/>
        <w:rPr>
          <w:rFonts w:cs="Times New Roman"/>
          <w:sz w:val="24"/>
          <w:szCs w:val="24"/>
        </w:rPr>
      </w:pPr>
    </w:p>
    <w:p w14:paraId="03B3EE5B" w14:textId="6373D347" w:rsidR="00A6073D" w:rsidRPr="00A6073D" w:rsidRDefault="0006267B" w:rsidP="007E34DB">
      <w:pPr>
        <w:spacing w:after="0" w:line="240" w:lineRule="auto"/>
        <w:jc w:val="both"/>
        <w:rPr>
          <w:rFonts w:cs="Times New Roman"/>
          <w:b/>
          <w:color w:val="BB1F53"/>
          <w:sz w:val="24"/>
          <w:szCs w:val="24"/>
        </w:rPr>
      </w:pPr>
      <w:r>
        <w:rPr>
          <w:rFonts w:cs="Times New Roman"/>
          <w:b/>
          <w:color w:val="BB1F53"/>
          <w:sz w:val="24"/>
          <w:szCs w:val="24"/>
        </w:rPr>
        <w:t>Protected</w:t>
      </w:r>
      <w:r w:rsidR="00C846CB">
        <w:rPr>
          <w:rFonts w:cs="Times New Roman"/>
          <w:b/>
          <w:color w:val="BB1F53"/>
          <w:sz w:val="24"/>
          <w:szCs w:val="24"/>
        </w:rPr>
        <w:t xml:space="preserve"> PII</w:t>
      </w:r>
    </w:p>
    <w:p w14:paraId="654B4AC8" w14:textId="52092572" w:rsidR="007E34DB" w:rsidRDefault="0006267B" w:rsidP="007E34DB">
      <w:pPr>
        <w:spacing w:after="0" w:line="240" w:lineRule="auto"/>
        <w:jc w:val="both"/>
        <w:rPr>
          <w:rFonts w:cs="Times New Roman"/>
          <w:sz w:val="24"/>
          <w:szCs w:val="24"/>
        </w:rPr>
      </w:pPr>
      <w:r>
        <w:rPr>
          <w:rFonts w:cs="Times New Roman"/>
          <w:sz w:val="24"/>
          <w:szCs w:val="24"/>
        </w:rPr>
        <w:t xml:space="preserve">Protected PII is information that if disclosed could result in harm to the individual whose name or identity is linked to that information. </w:t>
      </w:r>
    </w:p>
    <w:p w14:paraId="43EE7994" w14:textId="0768E51B" w:rsidR="0006267B" w:rsidRDefault="0006267B" w:rsidP="007E34DB">
      <w:pPr>
        <w:spacing w:after="0" w:line="240" w:lineRule="auto"/>
        <w:jc w:val="both"/>
        <w:rPr>
          <w:rFonts w:cs="Times New Roman"/>
          <w:sz w:val="24"/>
          <w:szCs w:val="24"/>
        </w:rPr>
      </w:pPr>
    </w:p>
    <w:p w14:paraId="5E29FC92" w14:textId="5BD98B12" w:rsidR="0006267B" w:rsidRDefault="003E1C01" w:rsidP="007E34DB">
      <w:pPr>
        <w:spacing w:after="0" w:line="240" w:lineRule="auto"/>
        <w:jc w:val="both"/>
        <w:rPr>
          <w:rFonts w:cs="Times New Roman"/>
          <w:sz w:val="24"/>
          <w:szCs w:val="24"/>
        </w:rPr>
      </w:pPr>
      <w:r>
        <w:rPr>
          <w:rFonts w:cs="Times New Roman"/>
          <w:sz w:val="24"/>
          <w:szCs w:val="24"/>
        </w:rPr>
        <w:t>Examples include, but are not limited to, social security numbers, credit card numbers, bank account numbers, home telephone numbers, ages, birthdates, marital status, spouse names, educational history, biometric identifie</w:t>
      </w:r>
      <w:r w:rsidR="00533E4B">
        <w:rPr>
          <w:rFonts w:cs="Times New Roman"/>
          <w:sz w:val="24"/>
          <w:szCs w:val="24"/>
        </w:rPr>
        <w:t>r</w:t>
      </w:r>
      <w:r>
        <w:rPr>
          <w:rFonts w:cs="Times New Roman"/>
          <w:sz w:val="24"/>
          <w:szCs w:val="24"/>
        </w:rPr>
        <w:t xml:space="preserve">s, medical history, financial information and computer passwords. </w:t>
      </w:r>
    </w:p>
    <w:p w14:paraId="0B79A4FC" w14:textId="77777777" w:rsidR="003E1C01" w:rsidRDefault="003E1C01" w:rsidP="007E34DB">
      <w:pPr>
        <w:spacing w:after="0" w:line="240" w:lineRule="auto"/>
        <w:jc w:val="both"/>
        <w:rPr>
          <w:rFonts w:cs="Times New Roman"/>
          <w:color w:val="BB1F53"/>
          <w:sz w:val="24"/>
          <w:szCs w:val="24"/>
          <w:u w:val="single"/>
        </w:rPr>
      </w:pPr>
    </w:p>
    <w:p w14:paraId="18D80DED" w14:textId="5ABE48A3" w:rsidR="007E34DB" w:rsidRPr="007E34DB" w:rsidRDefault="00C846CB" w:rsidP="007E34DB">
      <w:pPr>
        <w:spacing w:after="0" w:line="240" w:lineRule="auto"/>
        <w:jc w:val="both"/>
        <w:rPr>
          <w:rFonts w:cs="Times New Roman"/>
          <w:b/>
          <w:color w:val="BB1F53"/>
          <w:sz w:val="24"/>
          <w:szCs w:val="24"/>
        </w:rPr>
      </w:pPr>
      <w:r>
        <w:rPr>
          <w:rFonts w:cs="Times New Roman"/>
          <w:b/>
          <w:color w:val="BB1F53"/>
          <w:sz w:val="24"/>
          <w:szCs w:val="24"/>
        </w:rPr>
        <w:t>Non-sensitive PII</w:t>
      </w:r>
      <w:r w:rsidR="00EB3645" w:rsidRPr="007E34DB">
        <w:rPr>
          <w:rFonts w:cs="Times New Roman"/>
          <w:b/>
          <w:color w:val="BB1F53"/>
          <w:sz w:val="24"/>
          <w:szCs w:val="24"/>
        </w:rPr>
        <w:t xml:space="preserve"> </w:t>
      </w:r>
    </w:p>
    <w:p w14:paraId="346C4478" w14:textId="0867263E" w:rsidR="00EB3645" w:rsidRDefault="003E1C01" w:rsidP="007E34DB">
      <w:pPr>
        <w:spacing w:after="0" w:line="240" w:lineRule="auto"/>
        <w:jc w:val="both"/>
        <w:rPr>
          <w:rFonts w:cs="Times New Roman"/>
          <w:sz w:val="24"/>
          <w:szCs w:val="24"/>
        </w:rPr>
      </w:pPr>
      <w:r>
        <w:rPr>
          <w:rFonts w:cs="Times New Roman"/>
          <w:sz w:val="24"/>
          <w:szCs w:val="24"/>
        </w:rPr>
        <w:t xml:space="preserve">Non-sensitive PII is information that if disclosed, by itself, could not reasonable be expected to result in personal harm. Essentially, it is stand-alone information that is not linked or closely associated with any protected or unprotected PII. However, depending on the circumstances, a combination of these items could potentially be categorized as protected or sensitive PII. </w:t>
      </w:r>
    </w:p>
    <w:p w14:paraId="701DB402" w14:textId="159CE02E" w:rsidR="003E1C01" w:rsidRDefault="003E1C01" w:rsidP="007E34DB">
      <w:pPr>
        <w:spacing w:after="0" w:line="240" w:lineRule="auto"/>
        <w:jc w:val="both"/>
        <w:rPr>
          <w:rFonts w:cs="Times New Roman"/>
          <w:sz w:val="24"/>
          <w:szCs w:val="24"/>
        </w:rPr>
      </w:pPr>
    </w:p>
    <w:p w14:paraId="3E50FB7C" w14:textId="04AEDBC5" w:rsidR="003E1C01" w:rsidRDefault="003E1C01" w:rsidP="007E34DB">
      <w:pPr>
        <w:spacing w:after="0" w:line="240" w:lineRule="auto"/>
        <w:jc w:val="both"/>
        <w:rPr>
          <w:rFonts w:cs="Times New Roman"/>
          <w:sz w:val="24"/>
          <w:szCs w:val="24"/>
        </w:rPr>
      </w:pPr>
      <w:r>
        <w:rPr>
          <w:rFonts w:cs="Times New Roman"/>
          <w:sz w:val="24"/>
          <w:szCs w:val="24"/>
        </w:rPr>
        <w:t xml:space="preserve">Examples include, but are not limited to, first and last names, e-mail addresses, business addresses, business telephone numbers, general education credentials, gender, or race. </w:t>
      </w:r>
    </w:p>
    <w:p w14:paraId="576A60F6" w14:textId="1D41416B" w:rsidR="00567D15" w:rsidRPr="00533E4B" w:rsidRDefault="00567D15" w:rsidP="00533E4B">
      <w:pPr>
        <w:spacing w:after="0" w:line="240" w:lineRule="auto"/>
        <w:jc w:val="both"/>
        <w:rPr>
          <w:rFonts w:eastAsia="+mn-ea" w:cs="Times New Roman"/>
          <w:bCs/>
          <w:kern w:val="24"/>
          <w:sz w:val="24"/>
          <w:szCs w:val="24"/>
        </w:rPr>
      </w:pPr>
    </w:p>
    <w:p w14:paraId="4ACB2180" w14:textId="3E3ABF4E" w:rsidR="00567D15" w:rsidRPr="00567D15" w:rsidRDefault="00567D15" w:rsidP="00567D15">
      <w:pPr>
        <w:spacing w:after="0" w:line="240" w:lineRule="auto"/>
        <w:jc w:val="both"/>
        <w:rPr>
          <w:rFonts w:eastAsia="+mn-ea" w:cs="Times New Roman"/>
          <w:b/>
          <w:bCs/>
          <w:color w:val="BB1F53"/>
          <w:kern w:val="24"/>
          <w:sz w:val="24"/>
          <w:szCs w:val="24"/>
        </w:rPr>
      </w:pPr>
      <w:r w:rsidRPr="00567D15">
        <w:rPr>
          <w:rFonts w:eastAsia="+mn-ea" w:cs="Times New Roman"/>
          <w:b/>
          <w:bCs/>
          <w:color w:val="BB1F53"/>
          <w:kern w:val="24"/>
          <w:sz w:val="24"/>
          <w:szCs w:val="24"/>
        </w:rPr>
        <w:t xml:space="preserve">Data Protection </w:t>
      </w:r>
    </w:p>
    <w:p w14:paraId="6842DCAB" w14:textId="0E0DF250" w:rsidR="005D3C02" w:rsidRPr="00567D15" w:rsidRDefault="00567D15" w:rsidP="00567D15">
      <w:pPr>
        <w:pStyle w:val="ListParagraph"/>
        <w:numPr>
          <w:ilvl w:val="0"/>
          <w:numId w:val="15"/>
        </w:numPr>
        <w:spacing w:after="0" w:line="240" w:lineRule="auto"/>
        <w:jc w:val="both"/>
        <w:rPr>
          <w:rFonts w:eastAsia="+mn-ea" w:cs="Times New Roman"/>
          <w:bCs/>
          <w:kern w:val="24"/>
          <w:sz w:val="24"/>
          <w:szCs w:val="24"/>
        </w:rPr>
      </w:pPr>
      <w:r w:rsidRPr="00567D15">
        <w:rPr>
          <w:rFonts w:eastAsia="+mn-ea" w:cs="Times New Roman"/>
          <w:bCs/>
          <w:kern w:val="24"/>
          <w:sz w:val="24"/>
          <w:szCs w:val="24"/>
        </w:rPr>
        <w:lastRenderedPageBreak/>
        <w:t>Data may not be obtained or used for any purpose other than those req</w:t>
      </w:r>
      <w:r>
        <w:rPr>
          <w:rFonts w:eastAsia="+mn-ea" w:cs="Times New Roman"/>
          <w:bCs/>
          <w:kern w:val="24"/>
          <w:sz w:val="24"/>
          <w:szCs w:val="24"/>
        </w:rPr>
        <w:t>uired by the programs. Access to</w:t>
      </w:r>
      <w:r w:rsidRPr="00567D15">
        <w:rPr>
          <w:rFonts w:eastAsia="+mn-ea" w:cs="Times New Roman"/>
          <w:bCs/>
          <w:kern w:val="24"/>
          <w:sz w:val="24"/>
          <w:szCs w:val="24"/>
        </w:rPr>
        <w:t xml:space="preserve"> data is restricted to only those individuals who need it in their official capacity to perform duties in connection with the scope of work. </w:t>
      </w:r>
      <w:r w:rsidR="003D393A" w:rsidRPr="00567D15">
        <w:rPr>
          <w:rFonts w:eastAsia="+mn-ea" w:cs="Times New Roman"/>
          <w:bCs/>
          <w:kern w:val="24"/>
          <w:sz w:val="24"/>
          <w:szCs w:val="24"/>
        </w:rPr>
        <w:t xml:space="preserve"> </w:t>
      </w:r>
    </w:p>
    <w:p w14:paraId="50E51780" w14:textId="76F9C11E" w:rsidR="00567D15" w:rsidRDefault="00567D15" w:rsidP="00567D15">
      <w:pPr>
        <w:pStyle w:val="ListParagraph"/>
        <w:numPr>
          <w:ilvl w:val="0"/>
          <w:numId w:val="15"/>
        </w:numPr>
        <w:spacing w:after="0" w:line="240" w:lineRule="auto"/>
        <w:jc w:val="both"/>
        <w:rPr>
          <w:rFonts w:eastAsia="+mn-ea" w:cs="Times New Roman"/>
          <w:bCs/>
          <w:kern w:val="24"/>
          <w:sz w:val="24"/>
          <w:szCs w:val="24"/>
        </w:rPr>
      </w:pPr>
      <w:r w:rsidRPr="008B64E8">
        <w:rPr>
          <w:rFonts w:eastAsia="+mn-ea" w:cs="Times New Roman"/>
          <w:bCs/>
          <w:kern w:val="24"/>
          <w:sz w:val="24"/>
          <w:szCs w:val="24"/>
        </w:rPr>
        <w:t>Staff and other personne</w:t>
      </w:r>
      <w:r>
        <w:rPr>
          <w:rFonts w:eastAsia="+mn-ea" w:cs="Times New Roman"/>
          <w:bCs/>
          <w:kern w:val="24"/>
          <w:sz w:val="24"/>
          <w:szCs w:val="24"/>
        </w:rPr>
        <w:t>l who have access to PII are</w:t>
      </w:r>
      <w:r w:rsidRPr="008B64E8">
        <w:rPr>
          <w:rFonts w:eastAsia="+mn-ea" w:cs="Times New Roman"/>
          <w:bCs/>
          <w:kern w:val="24"/>
          <w:sz w:val="24"/>
          <w:szCs w:val="24"/>
        </w:rPr>
        <w:t xml:space="preserve"> advised of the confidential nature of the information, the safeguards to protect the information and the civil and criminal sanctions for non</w:t>
      </w:r>
      <w:r>
        <w:rPr>
          <w:rFonts w:eastAsia="+mn-ea" w:cs="Times New Roman"/>
          <w:bCs/>
          <w:kern w:val="24"/>
          <w:sz w:val="24"/>
          <w:szCs w:val="24"/>
        </w:rPr>
        <w:t xml:space="preserve">compliance with such safeguards. Personnel acknowledge their understanding of these compliance requirements and their liability for improper disclosure during their new-hire orientation. </w:t>
      </w:r>
    </w:p>
    <w:p w14:paraId="4DC93DFB" w14:textId="77777777" w:rsidR="00567D15" w:rsidRDefault="00567D15" w:rsidP="00567D15">
      <w:pPr>
        <w:pStyle w:val="ListParagraph"/>
        <w:numPr>
          <w:ilvl w:val="0"/>
          <w:numId w:val="15"/>
        </w:numPr>
        <w:spacing w:after="0" w:line="240" w:lineRule="auto"/>
        <w:jc w:val="both"/>
        <w:rPr>
          <w:rFonts w:eastAsia="+mn-ea" w:cs="Times New Roman"/>
          <w:bCs/>
          <w:kern w:val="24"/>
          <w:sz w:val="24"/>
          <w:szCs w:val="24"/>
        </w:rPr>
      </w:pPr>
      <w:r w:rsidRPr="00567D15">
        <w:rPr>
          <w:rFonts w:eastAsia="+mn-ea" w:cs="Times New Roman"/>
          <w:bCs/>
          <w:kern w:val="24"/>
          <w:sz w:val="24"/>
          <w:szCs w:val="24"/>
        </w:rPr>
        <w:t xml:space="preserve">PII will be stored in a secure location that is safe from access by unauthorized persons. </w:t>
      </w:r>
      <w:r>
        <w:rPr>
          <w:rFonts w:eastAsia="+mn-ea" w:cs="Times New Roman"/>
          <w:bCs/>
          <w:kern w:val="24"/>
          <w:sz w:val="24"/>
          <w:szCs w:val="24"/>
        </w:rPr>
        <w:t xml:space="preserve">Accessing, processing and storing participant data on personally owned equipment at off-site locations is prohibited. </w:t>
      </w:r>
    </w:p>
    <w:p w14:paraId="66BD5D1B" w14:textId="021A80BB" w:rsidR="00567D15" w:rsidRPr="00567D15" w:rsidRDefault="00567D15" w:rsidP="00567D15">
      <w:pPr>
        <w:pStyle w:val="ListParagraph"/>
        <w:numPr>
          <w:ilvl w:val="0"/>
          <w:numId w:val="15"/>
        </w:numPr>
        <w:spacing w:after="0" w:line="240" w:lineRule="auto"/>
        <w:jc w:val="both"/>
        <w:rPr>
          <w:rFonts w:eastAsia="+mn-ea" w:cs="Times New Roman"/>
          <w:bCs/>
          <w:kern w:val="24"/>
          <w:sz w:val="24"/>
          <w:szCs w:val="24"/>
        </w:rPr>
      </w:pPr>
      <w:r w:rsidRPr="00567D15">
        <w:rPr>
          <w:rFonts w:eastAsia="+mn-ea" w:cs="Times New Roman"/>
          <w:bCs/>
          <w:kern w:val="24"/>
          <w:sz w:val="24"/>
          <w:szCs w:val="24"/>
        </w:rPr>
        <w:t xml:space="preserve">Staff must ensure privacy of all PII obtained from participants and/or other individuals and protect such information from unauthorized disclosure. Participants will be required to sign a release of information to listed parties before any PII is shared with another person/agency. </w:t>
      </w:r>
    </w:p>
    <w:p w14:paraId="07FC7E28" w14:textId="77777777" w:rsidR="00567D15" w:rsidRDefault="00567D15" w:rsidP="00567D15">
      <w:pPr>
        <w:pStyle w:val="ListParagraph"/>
        <w:numPr>
          <w:ilvl w:val="0"/>
          <w:numId w:val="15"/>
        </w:numPr>
        <w:spacing w:after="0" w:line="240" w:lineRule="auto"/>
        <w:rPr>
          <w:rFonts w:eastAsia="+mn-ea" w:cs="Times New Roman"/>
          <w:bCs/>
          <w:kern w:val="24"/>
          <w:sz w:val="24"/>
          <w:szCs w:val="24"/>
        </w:rPr>
      </w:pPr>
      <w:r>
        <w:rPr>
          <w:rFonts w:eastAsia="+mn-ea" w:cs="Times New Roman"/>
          <w:bCs/>
          <w:kern w:val="24"/>
          <w:sz w:val="24"/>
          <w:szCs w:val="24"/>
        </w:rPr>
        <w:t xml:space="preserve">Data must be processed in a manner to protect the confidentiality of the records/documents and is designed to prevent unauthorized persons from retrieving such records. </w:t>
      </w:r>
    </w:p>
    <w:p w14:paraId="667291C2" w14:textId="171F7278" w:rsidR="00567D15" w:rsidRPr="001024BD" w:rsidRDefault="00567D15" w:rsidP="001024BD">
      <w:pPr>
        <w:pStyle w:val="ListParagraph"/>
        <w:numPr>
          <w:ilvl w:val="0"/>
          <w:numId w:val="15"/>
        </w:numPr>
        <w:spacing w:after="0" w:line="240" w:lineRule="auto"/>
        <w:rPr>
          <w:rFonts w:eastAsia="+mn-ea" w:cs="Times New Roman"/>
          <w:bCs/>
          <w:kern w:val="24"/>
          <w:sz w:val="24"/>
          <w:szCs w:val="24"/>
        </w:rPr>
      </w:pPr>
      <w:r>
        <w:rPr>
          <w:rFonts w:eastAsia="+mn-ea" w:cs="Times New Roman"/>
          <w:bCs/>
          <w:kern w:val="24"/>
          <w:sz w:val="24"/>
          <w:szCs w:val="24"/>
        </w:rPr>
        <w:t>All data transmitted electronically must be encrypted using a Federal Information Processing Standards (FIPS) 140-2 compliant and Nation</w:t>
      </w:r>
      <w:r w:rsidR="00533E4B">
        <w:rPr>
          <w:rFonts w:eastAsia="+mn-ea" w:cs="Times New Roman"/>
          <w:bCs/>
          <w:kern w:val="24"/>
          <w:sz w:val="24"/>
          <w:szCs w:val="24"/>
        </w:rPr>
        <w:t>al</w:t>
      </w:r>
      <w:r>
        <w:rPr>
          <w:rFonts w:eastAsia="+mn-ea" w:cs="Times New Roman"/>
          <w:bCs/>
          <w:kern w:val="24"/>
          <w:sz w:val="24"/>
          <w:szCs w:val="24"/>
        </w:rPr>
        <w:t xml:space="preserve"> Institute of Standards and Technology (NIST) validated cryptographic module. Unencrypted sensitive PII must not be emailed. </w:t>
      </w:r>
    </w:p>
    <w:p w14:paraId="4C8931BB" w14:textId="1BB494DD" w:rsidR="002D5376" w:rsidRDefault="002D5376" w:rsidP="005D3C02">
      <w:pPr>
        <w:spacing w:after="0" w:line="240" w:lineRule="auto"/>
        <w:jc w:val="both"/>
        <w:rPr>
          <w:rFonts w:eastAsia="+mn-ea" w:cs="Times New Roman"/>
          <w:bCs/>
          <w:kern w:val="24"/>
          <w:sz w:val="24"/>
          <w:szCs w:val="24"/>
        </w:rPr>
      </w:pPr>
    </w:p>
    <w:p w14:paraId="05FFA7A3" w14:textId="0CE6C70B" w:rsidR="002D5376" w:rsidRPr="00567D15" w:rsidRDefault="002D5376" w:rsidP="002D5376">
      <w:pPr>
        <w:spacing w:after="0" w:line="240" w:lineRule="auto"/>
        <w:rPr>
          <w:rFonts w:eastAsia="+mn-ea" w:cs="Times New Roman"/>
          <w:b/>
          <w:bCs/>
          <w:color w:val="BB1F53"/>
          <w:kern w:val="24"/>
          <w:sz w:val="24"/>
          <w:szCs w:val="24"/>
        </w:rPr>
      </w:pPr>
      <w:r w:rsidRPr="00567D15">
        <w:rPr>
          <w:rFonts w:eastAsia="+mn-ea" w:cs="Times New Roman"/>
          <w:b/>
          <w:bCs/>
          <w:color w:val="BB1F53"/>
          <w:kern w:val="24"/>
          <w:sz w:val="24"/>
          <w:szCs w:val="24"/>
        </w:rPr>
        <w:t>Data Breach</w:t>
      </w:r>
    </w:p>
    <w:p w14:paraId="0C6EAC1E" w14:textId="56B0FB56" w:rsidR="002D5376" w:rsidRDefault="002D5376" w:rsidP="002D5376">
      <w:pPr>
        <w:spacing w:after="0" w:line="240" w:lineRule="auto"/>
        <w:rPr>
          <w:rFonts w:eastAsia="+mn-ea" w:cs="Times New Roman"/>
          <w:bCs/>
          <w:kern w:val="24"/>
          <w:sz w:val="24"/>
          <w:szCs w:val="24"/>
        </w:rPr>
      </w:pPr>
      <w:r>
        <w:rPr>
          <w:rFonts w:eastAsia="+mn-ea" w:cs="Times New Roman"/>
          <w:bCs/>
          <w:kern w:val="24"/>
          <w:sz w:val="24"/>
          <w:szCs w:val="24"/>
        </w:rPr>
        <w:t>Any breach of data must be reported in writing to the administrative entity immediately upon occurrence, not to exceed 24 hours after the breach is identified.</w:t>
      </w:r>
    </w:p>
    <w:p w14:paraId="5EA702DC" w14:textId="77777777" w:rsidR="001024BD" w:rsidRPr="002D5376" w:rsidRDefault="001024BD" w:rsidP="002D5376">
      <w:pPr>
        <w:spacing w:after="0" w:line="240" w:lineRule="auto"/>
        <w:rPr>
          <w:rFonts w:eastAsia="+mn-ea" w:cs="Times New Roman"/>
          <w:bCs/>
          <w:kern w:val="24"/>
          <w:sz w:val="24"/>
          <w:szCs w:val="24"/>
        </w:rPr>
      </w:pPr>
    </w:p>
    <w:p w14:paraId="64C52CA6" w14:textId="7AA95B9A" w:rsidR="001024BD" w:rsidRDefault="001024BD" w:rsidP="001024BD">
      <w:pPr>
        <w:spacing w:after="0" w:line="240" w:lineRule="auto"/>
        <w:rPr>
          <w:rFonts w:eastAsia="+mn-ea" w:cs="Times New Roman"/>
          <w:b/>
          <w:bCs/>
          <w:color w:val="BB1F53"/>
          <w:kern w:val="24"/>
          <w:sz w:val="24"/>
          <w:szCs w:val="24"/>
        </w:rPr>
      </w:pPr>
      <w:r>
        <w:rPr>
          <w:rFonts w:eastAsia="+mn-ea" w:cs="Times New Roman"/>
          <w:b/>
          <w:bCs/>
          <w:color w:val="BB1F53"/>
          <w:kern w:val="24"/>
          <w:sz w:val="24"/>
          <w:szCs w:val="24"/>
        </w:rPr>
        <w:t>Data Retention</w:t>
      </w:r>
    </w:p>
    <w:p w14:paraId="4E2C1F1A" w14:textId="43C5E14E" w:rsidR="001024BD" w:rsidRPr="001024BD" w:rsidRDefault="001024BD" w:rsidP="001024BD">
      <w:pPr>
        <w:spacing w:after="0" w:line="240" w:lineRule="auto"/>
        <w:rPr>
          <w:rFonts w:eastAsia="+mn-ea" w:cs="Times New Roman"/>
          <w:bCs/>
          <w:kern w:val="24"/>
          <w:sz w:val="24"/>
          <w:szCs w:val="24"/>
        </w:rPr>
      </w:pPr>
      <w:r>
        <w:rPr>
          <w:rFonts w:eastAsia="+mn-ea" w:cs="Times New Roman"/>
          <w:bCs/>
          <w:kern w:val="24"/>
          <w:sz w:val="24"/>
          <w:szCs w:val="24"/>
        </w:rPr>
        <w:t xml:space="preserve">Data will be retained for the required three years, then destroyed. </w:t>
      </w:r>
    </w:p>
    <w:p w14:paraId="26BFCE81" w14:textId="2E0628EA" w:rsidR="001B7835" w:rsidRPr="001B7835" w:rsidRDefault="001B7835" w:rsidP="00EB3645">
      <w:pPr>
        <w:pStyle w:val="Style11"/>
        <w:spacing w:before="0" w:after="0"/>
        <w:jc w:val="both"/>
        <w:rPr>
          <w:rFonts w:ascii="Times New Roman" w:eastAsia="+mn-ea" w:hAnsi="Times New Roman" w:cs="Times New Roman"/>
          <w:kern w:val="24"/>
          <w:sz w:val="24"/>
          <w:szCs w:val="24"/>
        </w:rPr>
      </w:pPr>
    </w:p>
    <w:p w14:paraId="56D5C457" w14:textId="77777777" w:rsidR="00685C25" w:rsidRPr="00B13F81" w:rsidRDefault="00685C25" w:rsidP="00685C25">
      <w:pPr>
        <w:spacing w:after="0" w:line="240" w:lineRule="auto"/>
        <w:rPr>
          <w:rFonts w:eastAsia="+mn-ea" w:cs="Times New Roman"/>
          <w:b/>
          <w:bCs/>
          <w:color w:val="BB1F53"/>
          <w:kern w:val="24"/>
          <w:sz w:val="24"/>
          <w:szCs w:val="24"/>
        </w:rPr>
      </w:pPr>
      <w:r w:rsidRPr="00B13F81">
        <w:rPr>
          <w:rFonts w:eastAsia="+mn-ea" w:cs="Times New Roman"/>
          <w:b/>
          <w:bCs/>
          <w:color w:val="BB1F53"/>
          <w:kern w:val="24"/>
          <w:sz w:val="24"/>
          <w:szCs w:val="24"/>
        </w:rPr>
        <w:t>Disclaimer</w:t>
      </w:r>
    </w:p>
    <w:p w14:paraId="61DA0EE7" w14:textId="489E4714" w:rsidR="00685C25" w:rsidRDefault="00685C25" w:rsidP="00685C25">
      <w:pPr>
        <w:spacing w:after="0" w:line="240" w:lineRule="auto"/>
        <w:jc w:val="both"/>
        <w:rPr>
          <w:rFonts w:eastAsia="Times New Roman" w:cs="Times New Roman"/>
          <w:sz w:val="24"/>
          <w:szCs w:val="24"/>
        </w:rPr>
      </w:pPr>
      <w:r w:rsidRPr="005B3B52">
        <w:rPr>
          <w:rFonts w:eastAsia="Times New Roman" w:cs="Times New Roman"/>
          <w:sz w:val="24"/>
          <w:szCs w:val="24"/>
        </w:rPr>
        <w:t>This policy is based on Greater Nebraska’s reading of the applicable statutes, regulations, rules and guidance released by the U.S. Gove</w:t>
      </w:r>
      <w:r w:rsidR="001B7835">
        <w:rPr>
          <w:rFonts w:eastAsia="Times New Roman" w:cs="Times New Roman"/>
          <w:sz w:val="24"/>
          <w:szCs w:val="24"/>
        </w:rPr>
        <w:t>rnment and the State of Nebraska</w:t>
      </w:r>
      <w:r w:rsidRPr="005B3B52">
        <w:rPr>
          <w:rFonts w:eastAsia="Times New Roman" w:cs="Times New Roman"/>
          <w:sz w:val="24"/>
          <w:szCs w:val="24"/>
        </w:rPr>
        <w:t>.  This policy is subject to change as revised or additional statutes, regulations, rules and guidance are issued.</w:t>
      </w:r>
    </w:p>
    <w:p w14:paraId="21CD3A45" w14:textId="1FEE6295" w:rsidR="00DC0DE9" w:rsidRDefault="00DC0DE9" w:rsidP="00685C25">
      <w:pPr>
        <w:spacing w:after="0" w:line="240" w:lineRule="auto"/>
        <w:jc w:val="both"/>
        <w:rPr>
          <w:rFonts w:eastAsia="Times New Roman" w:cs="Times New Roman"/>
          <w:sz w:val="24"/>
          <w:szCs w:val="24"/>
        </w:rPr>
      </w:pPr>
    </w:p>
    <w:p w14:paraId="3B009E6B" w14:textId="4A435A40" w:rsidR="00DC0DE9" w:rsidRPr="005B3B52" w:rsidRDefault="00DC0DE9" w:rsidP="00DC0DE9">
      <w:pPr>
        <w:spacing w:after="0" w:line="240" w:lineRule="auto"/>
        <w:jc w:val="both"/>
        <w:rPr>
          <w:rFonts w:eastAsia="Times New Roman" w:cs="Times New Roman"/>
          <w:sz w:val="24"/>
          <w:szCs w:val="24"/>
        </w:rPr>
      </w:pPr>
    </w:p>
    <w:sectPr w:rsidR="00DC0DE9" w:rsidRPr="005B3B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4D4A4" w14:textId="77777777" w:rsidR="000F2A2C" w:rsidRDefault="000F2A2C" w:rsidP="00E54BD1">
      <w:pPr>
        <w:spacing w:after="0" w:line="240" w:lineRule="auto"/>
      </w:pPr>
      <w:r>
        <w:separator/>
      </w:r>
    </w:p>
  </w:endnote>
  <w:endnote w:type="continuationSeparator" w:id="0">
    <w:p w14:paraId="7C811424" w14:textId="77777777" w:rsidR="000F2A2C" w:rsidRDefault="000F2A2C" w:rsidP="00E5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Bol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50107"/>
      <w:docPartObj>
        <w:docPartGallery w:val="Page Numbers (Bottom of Page)"/>
        <w:docPartUnique/>
      </w:docPartObj>
    </w:sdtPr>
    <w:sdtEndPr/>
    <w:sdtContent>
      <w:sdt>
        <w:sdtPr>
          <w:id w:val="-1769616900"/>
          <w:docPartObj>
            <w:docPartGallery w:val="Page Numbers (Top of Page)"/>
            <w:docPartUnique/>
          </w:docPartObj>
        </w:sdtPr>
        <w:sdtEndPr/>
        <w:sdtContent>
          <w:p w14:paraId="56EB20AA" w14:textId="61F18D6F" w:rsidR="009D2F91" w:rsidRDefault="009D2F91">
            <w:pPr>
              <w:pStyle w:val="Footer"/>
              <w:jc w:val="right"/>
            </w:pPr>
            <w:r w:rsidRPr="009D2F91">
              <w:rPr>
                <w:sz w:val="20"/>
                <w:szCs w:val="20"/>
              </w:rPr>
              <w:t xml:space="preserve">Page </w:t>
            </w:r>
            <w:r w:rsidRPr="009D2F91">
              <w:rPr>
                <w:b/>
                <w:bCs/>
                <w:sz w:val="20"/>
                <w:szCs w:val="20"/>
              </w:rPr>
              <w:fldChar w:fldCharType="begin"/>
            </w:r>
            <w:r w:rsidRPr="009D2F91">
              <w:rPr>
                <w:b/>
                <w:bCs/>
                <w:sz w:val="20"/>
                <w:szCs w:val="20"/>
              </w:rPr>
              <w:instrText xml:space="preserve"> PAGE </w:instrText>
            </w:r>
            <w:r w:rsidRPr="009D2F91">
              <w:rPr>
                <w:b/>
                <w:bCs/>
                <w:sz w:val="20"/>
                <w:szCs w:val="20"/>
              </w:rPr>
              <w:fldChar w:fldCharType="separate"/>
            </w:r>
            <w:r w:rsidR="00244DDC">
              <w:rPr>
                <w:b/>
                <w:bCs/>
                <w:noProof/>
                <w:sz w:val="20"/>
                <w:szCs w:val="20"/>
              </w:rPr>
              <w:t>2</w:t>
            </w:r>
            <w:r w:rsidRPr="009D2F91">
              <w:rPr>
                <w:b/>
                <w:bCs/>
                <w:sz w:val="20"/>
                <w:szCs w:val="20"/>
              </w:rPr>
              <w:fldChar w:fldCharType="end"/>
            </w:r>
            <w:r w:rsidRPr="009D2F91">
              <w:rPr>
                <w:sz w:val="20"/>
                <w:szCs w:val="20"/>
              </w:rPr>
              <w:t xml:space="preserve"> of </w:t>
            </w:r>
            <w:r w:rsidRPr="009D2F91">
              <w:rPr>
                <w:b/>
                <w:bCs/>
                <w:sz w:val="20"/>
                <w:szCs w:val="20"/>
              </w:rPr>
              <w:fldChar w:fldCharType="begin"/>
            </w:r>
            <w:r w:rsidRPr="009D2F91">
              <w:rPr>
                <w:b/>
                <w:bCs/>
                <w:sz w:val="20"/>
                <w:szCs w:val="20"/>
              </w:rPr>
              <w:instrText xml:space="preserve"> NUMPAGES  </w:instrText>
            </w:r>
            <w:r w:rsidRPr="009D2F91">
              <w:rPr>
                <w:b/>
                <w:bCs/>
                <w:sz w:val="20"/>
                <w:szCs w:val="20"/>
              </w:rPr>
              <w:fldChar w:fldCharType="separate"/>
            </w:r>
            <w:r w:rsidR="00244DDC">
              <w:rPr>
                <w:b/>
                <w:bCs/>
                <w:noProof/>
                <w:sz w:val="20"/>
                <w:szCs w:val="20"/>
              </w:rPr>
              <w:t>2</w:t>
            </w:r>
            <w:r w:rsidRPr="009D2F91">
              <w:rPr>
                <w:b/>
                <w:bCs/>
                <w:sz w:val="20"/>
                <w:szCs w:val="20"/>
              </w:rPr>
              <w:fldChar w:fldCharType="end"/>
            </w:r>
          </w:p>
        </w:sdtContent>
      </w:sdt>
    </w:sdtContent>
  </w:sdt>
  <w:p w14:paraId="1551105F" w14:textId="77777777" w:rsidR="009D2F91" w:rsidRDefault="00657831">
    <w:pPr>
      <w:pStyle w:val="Footer"/>
    </w:pPr>
    <w:r>
      <w:rPr>
        <w:noProof/>
        <w:color w:val="1F497D"/>
      </w:rPr>
      <w:drawing>
        <wp:anchor distT="0" distB="0" distL="114300" distR="114300" simplePos="0" relativeHeight="251661312" behindDoc="1" locked="0" layoutInCell="1" allowOverlap="1" wp14:anchorId="109431BA" wp14:editId="20445D80">
          <wp:simplePos x="0" y="0"/>
          <wp:positionH relativeFrom="margin">
            <wp:posOffset>0</wp:posOffset>
          </wp:positionH>
          <wp:positionV relativeFrom="paragraph">
            <wp:posOffset>0</wp:posOffset>
          </wp:positionV>
          <wp:extent cx="3724275" cy="228600"/>
          <wp:effectExtent l="0" t="0" r="9525" b="0"/>
          <wp:wrapNone/>
          <wp:docPr id="3" name="Picture 3"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A7475" w14:textId="77777777" w:rsidR="000F2A2C" w:rsidRDefault="000F2A2C" w:rsidP="00E54BD1">
      <w:pPr>
        <w:spacing w:after="0" w:line="240" w:lineRule="auto"/>
      </w:pPr>
      <w:r>
        <w:separator/>
      </w:r>
    </w:p>
  </w:footnote>
  <w:footnote w:type="continuationSeparator" w:id="0">
    <w:p w14:paraId="5A1E2582" w14:textId="77777777" w:rsidR="000F2A2C" w:rsidRDefault="000F2A2C" w:rsidP="00E5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092F" w14:textId="77777777" w:rsidR="00E54BD1" w:rsidRDefault="00E81451">
    <w:pPr>
      <w:pStyle w:val="Header"/>
    </w:pPr>
    <w:r w:rsidRPr="00864E12">
      <w:rPr>
        <w:rFonts w:ascii="Arial" w:hAnsi="Arial" w:cs="Arial"/>
        <w:noProof/>
        <w:sz w:val="24"/>
      </w:rPr>
      <w:drawing>
        <wp:anchor distT="0" distB="0" distL="114300" distR="114300" simplePos="0" relativeHeight="251659264" behindDoc="1" locked="0" layoutInCell="1" allowOverlap="1" wp14:anchorId="64A4D373" wp14:editId="2250CB4E">
          <wp:simplePos x="0" y="0"/>
          <wp:positionH relativeFrom="margin">
            <wp:align>center</wp:align>
          </wp:positionH>
          <wp:positionV relativeFrom="paragraph">
            <wp:posOffset>-457200</wp:posOffset>
          </wp:positionV>
          <wp:extent cx="5319227"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ployment and Training\WIA Greater Nebraska\Letterhead\Greater Nebraska WDB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19227" cy="1276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520559" w14:textId="77777777" w:rsidR="00E54BD1" w:rsidRPr="00E54BD1" w:rsidRDefault="00E54BD1" w:rsidP="00E54BD1">
    <w:pPr>
      <w:pStyle w:val="Header"/>
      <w:ind w:right="-18"/>
      <w:rPr>
        <w:rFonts w:cs="Arial"/>
        <w:b/>
      </w:rPr>
    </w:pPr>
    <w:r w:rsidRPr="00E54BD1">
      <w:rPr>
        <w:rFonts w:cs="Arial"/>
        <w:b/>
      </w:rPr>
      <w:tab/>
      <w:t xml:space="preserve">                                       </w:t>
    </w:r>
  </w:p>
  <w:p w14:paraId="46A406CA" w14:textId="77777777" w:rsidR="00E81451" w:rsidRPr="0051088F" w:rsidRDefault="00E81451" w:rsidP="00E81451">
    <w:pPr>
      <w:pStyle w:val="Header"/>
      <w:jc w:val="right"/>
      <w:rPr>
        <w:rFonts w:ascii="Arial" w:hAnsi="Arial" w:cs="Arial"/>
        <w:b/>
        <w:sz w:val="14"/>
        <w:szCs w:val="14"/>
      </w:rPr>
    </w:pPr>
    <w:r w:rsidRPr="0051088F">
      <w:rPr>
        <w:rFonts w:ascii="Arial" w:hAnsi="Arial" w:cs="Arial"/>
        <w:b/>
        <w:sz w:val="14"/>
        <w:szCs w:val="14"/>
      </w:rPr>
      <w:t>Lisa Wilson</w:t>
    </w:r>
    <w:r w:rsidRPr="0051088F">
      <w:rPr>
        <w:rFonts w:ascii="Arial" w:hAnsi="Arial" w:cs="Arial"/>
        <w:b/>
        <w:sz w:val="14"/>
        <w:szCs w:val="14"/>
      </w:rPr>
      <w:tab/>
    </w:r>
    <w:r w:rsidRPr="0051088F">
      <w:rPr>
        <w:rFonts w:ascii="Arial" w:hAnsi="Arial" w:cs="Arial"/>
        <w:b/>
        <w:sz w:val="14"/>
        <w:szCs w:val="14"/>
      </w:rPr>
      <w:tab/>
    </w:r>
    <w:r w:rsidRPr="0051088F">
      <w:rPr>
        <w:rFonts w:ascii="Arial" w:hAnsi="Arial" w:cs="Arial"/>
        <w:sz w:val="14"/>
        <w:szCs w:val="14"/>
      </w:rPr>
      <w:t xml:space="preserve">  </w:t>
    </w:r>
    <w:r w:rsidRPr="0051088F">
      <w:rPr>
        <w:rFonts w:ascii="Arial" w:hAnsi="Arial" w:cs="Arial"/>
        <w:b/>
        <w:sz w:val="14"/>
        <w:szCs w:val="14"/>
      </w:rPr>
      <w:t xml:space="preserve">  Pamela Lancaster                                                                                                                                     Chair </w:t>
    </w:r>
    <w:r w:rsidRPr="0051088F">
      <w:rPr>
        <w:rFonts w:ascii="Arial" w:hAnsi="Arial" w:cs="Arial"/>
        <w:b/>
        <w:sz w:val="14"/>
        <w:szCs w:val="14"/>
      </w:rPr>
      <w:tab/>
    </w:r>
    <w:r w:rsidRPr="0051088F">
      <w:rPr>
        <w:rFonts w:ascii="Arial" w:hAnsi="Arial" w:cs="Arial"/>
        <w:b/>
        <w:sz w:val="14"/>
        <w:szCs w:val="14"/>
      </w:rPr>
      <w:tab/>
      <w:t>CEOB Chair</w:t>
    </w:r>
    <w:r w:rsidRPr="0051088F">
      <w:rPr>
        <w:rFonts w:ascii="Arial" w:hAnsi="Arial" w:cs="Arial"/>
        <w:sz w:val="14"/>
        <w:szCs w:val="14"/>
      </w:rPr>
      <w:t xml:space="preserve"> </w:t>
    </w:r>
  </w:p>
  <w:p w14:paraId="1DA55CF6" w14:textId="77777777" w:rsidR="00685C25" w:rsidRDefault="00685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4C1D"/>
    <w:multiLevelType w:val="hybridMultilevel"/>
    <w:tmpl w:val="70000B7A"/>
    <w:lvl w:ilvl="0" w:tplc="CF1A905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D2EB2"/>
    <w:multiLevelType w:val="hybridMultilevel"/>
    <w:tmpl w:val="5B067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A61B2"/>
    <w:multiLevelType w:val="hybridMultilevel"/>
    <w:tmpl w:val="5832DA0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A31DC"/>
    <w:multiLevelType w:val="hybridMultilevel"/>
    <w:tmpl w:val="0988EB5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66FD0"/>
    <w:multiLevelType w:val="hybridMultilevel"/>
    <w:tmpl w:val="82964D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2D5590"/>
    <w:multiLevelType w:val="hybridMultilevel"/>
    <w:tmpl w:val="9F8AEC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0135A6"/>
    <w:multiLevelType w:val="hybridMultilevel"/>
    <w:tmpl w:val="C51A1858"/>
    <w:lvl w:ilvl="0" w:tplc="4A8432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C17D0"/>
    <w:multiLevelType w:val="hybridMultilevel"/>
    <w:tmpl w:val="ADC269E6"/>
    <w:lvl w:ilvl="0" w:tplc="0409001B">
      <w:start w:val="1"/>
      <w:numFmt w:val="lowerRoman"/>
      <w:lvlText w:val="%1."/>
      <w:lvlJc w:val="right"/>
      <w:pPr>
        <w:ind w:left="720" w:hanging="360"/>
      </w:pPr>
    </w:lvl>
    <w:lvl w:ilvl="1" w:tplc="35BCFE8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74AC7"/>
    <w:multiLevelType w:val="hybridMultilevel"/>
    <w:tmpl w:val="D7F44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604BE"/>
    <w:multiLevelType w:val="hybridMultilevel"/>
    <w:tmpl w:val="23A6F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A1328"/>
    <w:multiLevelType w:val="hybridMultilevel"/>
    <w:tmpl w:val="1EF86CBC"/>
    <w:lvl w:ilvl="0" w:tplc="4A8432DA">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F211F3"/>
    <w:multiLevelType w:val="hybridMultilevel"/>
    <w:tmpl w:val="B284FB0E"/>
    <w:lvl w:ilvl="0" w:tplc="0409001B">
      <w:start w:val="1"/>
      <w:numFmt w:val="lowerRoman"/>
      <w:lvlText w:val="%1."/>
      <w:lvlJc w:val="righ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11C8D"/>
    <w:multiLevelType w:val="hybridMultilevel"/>
    <w:tmpl w:val="2772BB7A"/>
    <w:lvl w:ilvl="0" w:tplc="6C1AA538">
      <w:start w:val="1"/>
      <w:numFmt w:val="upperLetter"/>
      <w:lvlText w:val="%1."/>
      <w:lvlJc w:val="left"/>
      <w:pPr>
        <w:ind w:left="720" w:hanging="360"/>
      </w:pPr>
      <w:rPr>
        <w:rFonts w:hint="default"/>
      </w:rPr>
    </w:lvl>
    <w:lvl w:ilvl="1" w:tplc="E47C285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4158C"/>
    <w:multiLevelType w:val="hybridMultilevel"/>
    <w:tmpl w:val="A3C668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B46C9F"/>
    <w:multiLevelType w:val="hybridMultilevel"/>
    <w:tmpl w:val="B4220C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12"/>
  </w:num>
  <w:num w:numId="4">
    <w:abstractNumId w:val="7"/>
  </w:num>
  <w:num w:numId="5">
    <w:abstractNumId w:val="3"/>
  </w:num>
  <w:num w:numId="6">
    <w:abstractNumId w:val="13"/>
  </w:num>
  <w:num w:numId="7">
    <w:abstractNumId w:val="2"/>
  </w:num>
  <w:num w:numId="8">
    <w:abstractNumId w:val="10"/>
  </w:num>
  <w:num w:numId="9">
    <w:abstractNumId w:val="0"/>
  </w:num>
  <w:num w:numId="10">
    <w:abstractNumId w:val="11"/>
  </w:num>
  <w:num w:numId="11">
    <w:abstractNumId w:val="14"/>
  </w:num>
  <w:num w:numId="12">
    <w:abstractNumId w:val="5"/>
  </w:num>
  <w:num w:numId="13">
    <w:abstractNumId w:val="4"/>
  </w:num>
  <w:num w:numId="14">
    <w:abstractNumId w:val="8"/>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D1"/>
    <w:rsid w:val="0000133C"/>
    <w:rsid w:val="00003CFD"/>
    <w:rsid w:val="00022F04"/>
    <w:rsid w:val="000260C6"/>
    <w:rsid w:val="000275A0"/>
    <w:rsid w:val="00042EC3"/>
    <w:rsid w:val="000433EE"/>
    <w:rsid w:val="00044888"/>
    <w:rsid w:val="00045ECF"/>
    <w:rsid w:val="00055320"/>
    <w:rsid w:val="0006267B"/>
    <w:rsid w:val="00090C74"/>
    <w:rsid w:val="000969A3"/>
    <w:rsid w:val="000C4C60"/>
    <w:rsid w:val="000C6D9D"/>
    <w:rsid w:val="000D04C8"/>
    <w:rsid w:val="000D52AC"/>
    <w:rsid w:val="000D569B"/>
    <w:rsid w:val="000F2A2C"/>
    <w:rsid w:val="001024BD"/>
    <w:rsid w:val="00104B5E"/>
    <w:rsid w:val="001056AC"/>
    <w:rsid w:val="001071AC"/>
    <w:rsid w:val="001215D7"/>
    <w:rsid w:val="00123E96"/>
    <w:rsid w:val="00125C1A"/>
    <w:rsid w:val="00131C86"/>
    <w:rsid w:val="0014186A"/>
    <w:rsid w:val="00143EAC"/>
    <w:rsid w:val="001511F9"/>
    <w:rsid w:val="00163DD9"/>
    <w:rsid w:val="001657D1"/>
    <w:rsid w:val="00170CCB"/>
    <w:rsid w:val="00174B23"/>
    <w:rsid w:val="001812AD"/>
    <w:rsid w:val="00182598"/>
    <w:rsid w:val="00183C71"/>
    <w:rsid w:val="0018509E"/>
    <w:rsid w:val="0019518B"/>
    <w:rsid w:val="001A19DD"/>
    <w:rsid w:val="001A6CBC"/>
    <w:rsid w:val="001B60C8"/>
    <w:rsid w:val="001B7835"/>
    <w:rsid w:val="001D1593"/>
    <w:rsid w:val="001D3520"/>
    <w:rsid w:val="001D3870"/>
    <w:rsid w:val="00200030"/>
    <w:rsid w:val="002118AE"/>
    <w:rsid w:val="002216F2"/>
    <w:rsid w:val="00221827"/>
    <w:rsid w:val="002220B2"/>
    <w:rsid w:val="00225E52"/>
    <w:rsid w:val="00234311"/>
    <w:rsid w:val="00237419"/>
    <w:rsid w:val="002410E8"/>
    <w:rsid w:val="00244DDC"/>
    <w:rsid w:val="002470A1"/>
    <w:rsid w:val="00251BB6"/>
    <w:rsid w:val="00271DC0"/>
    <w:rsid w:val="0027522D"/>
    <w:rsid w:val="00295D98"/>
    <w:rsid w:val="002B3924"/>
    <w:rsid w:val="002D5376"/>
    <w:rsid w:val="002E0DC3"/>
    <w:rsid w:val="003226CB"/>
    <w:rsid w:val="0033787D"/>
    <w:rsid w:val="003524CC"/>
    <w:rsid w:val="00386BF1"/>
    <w:rsid w:val="0039572C"/>
    <w:rsid w:val="003B0DB5"/>
    <w:rsid w:val="003B3F46"/>
    <w:rsid w:val="003B7519"/>
    <w:rsid w:val="003C1017"/>
    <w:rsid w:val="003C7F56"/>
    <w:rsid w:val="003D393A"/>
    <w:rsid w:val="003D630C"/>
    <w:rsid w:val="003E1C01"/>
    <w:rsid w:val="003E50C5"/>
    <w:rsid w:val="00401BDD"/>
    <w:rsid w:val="00401EEB"/>
    <w:rsid w:val="00403E23"/>
    <w:rsid w:val="00403ED0"/>
    <w:rsid w:val="00406EB8"/>
    <w:rsid w:val="00407FFC"/>
    <w:rsid w:val="00414652"/>
    <w:rsid w:val="004201F7"/>
    <w:rsid w:val="00426FC8"/>
    <w:rsid w:val="00432EA0"/>
    <w:rsid w:val="004340F2"/>
    <w:rsid w:val="00445104"/>
    <w:rsid w:val="00453D9C"/>
    <w:rsid w:val="00457EDB"/>
    <w:rsid w:val="004761E2"/>
    <w:rsid w:val="00483896"/>
    <w:rsid w:val="004924F6"/>
    <w:rsid w:val="004A17AF"/>
    <w:rsid w:val="004B45DA"/>
    <w:rsid w:val="004C3629"/>
    <w:rsid w:val="004E6503"/>
    <w:rsid w:val="004E704B"/>
    <w:rsid w:val="004F2140"/>
    <w:rsid w:val="00505BA9"/>
    <w:rsid w:val="00507A57"/>
    <w:rsid w:val="00533E4B"/>
    <w:rsid w:val="005361EC"/>
    <w:rsid w:val="00540A99"/>
    <w:rsid w:val="00567D15"/>
    <w:rsid w:val="005861A0"/>
    <w:rsid w:val="005B075B"/>
    <w:rsid w:val="005B0793"/>
    <w:rsid w:val="005B3B52"/>
    <w:rsid w:val="005D3C02"/>
    <w:rsid w:val="005D78CD"/>
    <w:rsid w:val="005E482B"/>
    <w:rsid w:val="005E5B0E"/>
    <w:rsid w:val="005F0C16"/>
    <w:rsid w:val="005F379F"/>
    <w:rsid w:val="00616B4D"/>
    <w:rsid w:val="00623F50"/>
    <w:rsid w:val="00637BCF"/>
    <w:rsid w:val="006502DF"/>
    <w:rsid w:val="0065267E"/>
    <w:rsid w:val="00654DF4"/>
    <w:rsid w:val="00657831"/>
    <w:rsid w:val="006706FA"/>
    <w:rsid w:val="00673781"/>
    <w:rsid w:val="00674612"/>
    <w:rsid w:val="00685C25"/>
    <w:rsid w:val="006A1ED0"/>
    <w:rsid w:val="006A45A1"/>
    <w:rsid w:val="006A58B1"/>
    <w:rsid w:val="006B55DB"/>
    <w:rsid w:val="006C3F79"/>
    <w:rsid w:val="006C47B6"/>
    <w:rsid w:val="006C784E"/>
    <w:rsid w:val="006E6722"/>
    <w:rsid w:val="006E692B"/>
    <w:rsid w:val="006F2509"/>
    <w:rsid w:val="00723BC7"/>
    <w:rsid w:val="00735649"/>
    <w:rsid w:val="00737325"/>
    <w:rsid w:val="0073736B"/>
    <w:rsid w:val="007402F4"/>
    <w:rsid w:val="00741CBC"/>
    <w:rsid w:val="00750CEC"/>
    <w:rsid w:val="007634C3"/>
    <w:rsid w:val="00765B53"/>
    <w:rsid w:val="007737BB"/>
    <w:rsid w:val="007746C0"/>
    <w:rsid w:val="00793945"/>
    <w:rsid w:val="00795D88"/>
    <w:rsid w:val="007A6585"/>
    <w:rsid w:val="007B3CD3"/>
    <w:rsid w:val="007B55CB"/>
    <w:rsid w:val="007D6F57"/>
    <w:rsid w:val="007E1897"/>
    <w:rsid w:val="007E34DB"/>
    <w:rsid w:val="007E3FA4"/>
    <w:rsid w:val="007F1B37"/>
    <w:rsid w:val="007F2DE2"/>
    <w:rsid w:val="0080664C"/>
    <w:rsid w:val="008137B6"/>
    <w:rsid w:val="0082622F"/>
    <w:rsid w:val="00834E84"/>
    <w:rsid w:val="00847C44"/>
    <w:rsid w:val="008606DF"/>
    <w:rsid w:val="00865F3E"/>
    <w:rsid w:val="008747BA"/>
    <w:rsid w:val="0087498C"/>
    <w:rsid w:val="008842CF"/>
    <w:rsid w:val="008B64E8"/>
    <w:rsid w:val="008C571B"/>
    <w:rsid w:val="008F7CD4"/>
    <w:rsid w:val="0091211B"/>
    <w:rsid w:val="009206B3"/>
    <w:rsid w:val="00922337"/>
    <w:rsid w:val="009231B2"/>
    <w:rsid w:val="00950202"/>
    <w:rsid w:val="0095662E"/>
    <w:rsid w:val="0098020E"/>
    <w:rsid w:val="00986E39"/>
    <w:rsid w:val="009B3DF2"/>
    <w:rsid w:val="009C5549"/>
    <w:rsid w:val="009D2F91"/>
    <w:rsid w:val="009E5E0D"/>
    <w:rsid w:val="00A1596E"/>
    <w:rsid w:val="00A21065"/>
    <w:rsid w:val="00A52752"/>
    <w:rsid w:val="00A6073D"/>
    <w:rsid w:val="00A61D5F"/>
    <w:rsid w:val="00A62DE8"/>
    <w:rsid w:val="00A65917"/>
    <w:rsid w:val="00A728CC"/>
    <w:rsid w:val="00A8256B"/>
    <w:rsid w:val="00A906AE"/>
    <w:rsid w:val="00A93C42"/>
    <w:rsid w:val="00AA1213"/>
    <w:rsid w:val="00AB3F51"/>
    <w:rsid w:val="00AD4B6F"/>
    <w:rsid w:val="00AD709F"/>
    <w:rsid w:val="00AE5F04"/>
    <w:rsid w:val="00B10132"/>
    <w:rsid w:val="00B13F81"/>
    <w:rsid w:val="00B16D34"/>
    <w:rsid w:val="00B17D4B"/>
    <w:rsid w:val="00B22ED9"/>
    <w:rsid w:val="00B44B60"/>
    <w:rsid w:val="00B57FD7"/>
    <w:rsid w:val="00B64B48"/>
    <w:rsid w:val="00B703D2"/>
    <w:rsid w:val="00B75FE0"/>
    <w:rsid w:val="00B86E64"/>
    <w:rsid w:val="00B904CE"/>
    <w:rsid w:val="00B94F97"/>
    <w:rsid w:val="00BB3D35"/>
    <w:rsid w:val="00BB6ABA"/>
    <w:rsid w:val="00BC1A3D"/>
    <w:rsid w:val="00BC424B"/>
    <w:rsid w:val="00BC49AC"/>
    <w:rsid w:val="00BC7F18"/>
    <w:rsid w:val="00BD71F9"/>
    <w:rsid w:val="00BE7F01"/>
    <w:rsid w:val="00C02217"/>
    <w:rsid w:val="00C06578"/>
    <w:rsid w:val="00C2545E"/>
    <w:rsid w:val="00C31FDF"/>
    <w:rsid w:val="00C35E84"/>
    <w:rsid w:val="00C37602"/>
    <w:rsid w:val="00C4361F"/>
    <w:rsid w:val="00C44891"/>
    <w:rsid w:val="00C46831"/>
    <w:rsid w:val="00C562FB"/>
    <w:rsid w:val="00C6448B"/>
    <w:rsid w:val="00C71669"/>
    <w:rsid w:val="00C8309D"/>
    <w:rsid w:val="00C846CB"/>
    <w:rsid w:val="00C94BE7"/>
    <w:rsid w:val="00CA6247"/>
    <w:rsid w:val="00CB635D"/>
    <w:rsid w:val="00CB74EE"/>
    <w:rsid w:val="00CC5510"/>
    <w:rsid w:val="00CD5C86"/>
    <w:rsid w:val="00CD6610"/>
    <w:rsid w:val="00CE70B7"/>
    <w:rsid w:val="00D119EC"/>
    <w:rsid w:val="00D16890"/>
    <w:rsid w:val="00D23D8A"/>
    <w:rsid w:val="00D251BF"/>
    <w:rsid w:val="00D3532F"/>
    <w:rsid w:val="00D36ACF"/>
    <w:rsid w:val="00D37224"/>
    <w:rsid w:val="00D555AD"/>
    <w:rsid w:val="00D66E12"/>
    <w:rsid w:val="00D94210"/>
    <w:rsid w:val="00D95D82"/>
    <w:rsid w:val="00DA155F"/>
    <w:rsid w:val="00DA4049"/>
    <w:rsid w:val="00DC0DE9"/>
    <w:rsid w:val="00DC4B70"/>
    <w:rsid w:val="00DD3D4C"/>
    <w:rsid w:val="00DD5D07"/>
    <w:rsid w:val="00DE4042"/>
    <w:rsid w:val="00DF347A"/>
    <w:rsid w:val="00E124F8"/>
    <w:rsid w:val="00E36755"/>
    <w:rsid w:val="00E42B5B"/>
    <w:rsid w:val="00E53209"/>
    <w:rsid w:val="00E54BD1"/>
    <w:rsid w:val="00E6169E"/>
    <w:rsid w:val="00E66815"/>
    <w:rsid w:val="00E7364D"/>
    <w:rsid w:val="00E7754D"/>
    <w:rsid w:val="00E81451"/>
    <w:rsid w:val="00E84ACF"/>
    <w:rsid w:val="00EA508E"/>
    <w:rsid w:val="00EA5114"/>
    <w:rsid w:val="00EA6AFA"/>
    <w:rsid w:val="00EB3645"/>
    <w:rsid w:val="00EC055E"/>
    <w:rsid w:val="00ED3E98"/>
    <w:rsid w:val="00EF2609"/>
    <w:rsid w:val="00EF32F0"/>
    <w:rsid w:val="00EF5112"/>
    <w:rsid w:val="00F23B38"/>
    <w:rsid w:val="00F334B6"/>
    <w:rsid w:val="00F528B1"/>
    <w:rsid w:val="00F574DA"/>
    <w:rsid w:val="00F6054E"/>
    <w:rsid w:val="00F65553"/>
    <w:rsid w:val="00FA6646"/>
    <w:rsid w:val="00FC3B9F"/>
    <w:rsid w:val="00FC4C48"/>
    <w:rsid w:val="00FD6210"/>
    <w:rsid w:val="00FE432E"/>
    <w:rsid w:val="00FE53EE"/>
    <w:rsid w:val="00FF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50F45F"/>
  <w15:chartTrackingRefBased/>
  <w15:docId w15:val="{B557305E-F948-48E0-A7CC-AE90473E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BD1"/>
  </w:style>
  <w:style w:type="paragraph" w:styleId="Footer">
    <w:name w:val="footer"/>
    <w:basedOn w:val="Normal"/>
    <w:link w:val="FooterChar"/>
    <w:uiPriority w:val="99"/>
    <w:unhideWhenUsed/>
    <w:rsid w:val="00E5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BD1"/>
  </w:style>
  <w:style w:type="character" w:styleId="Hyperlink">
    <w:name w:val="Hyperlink"/>
    <w:uiPriority w:val="99"/>
    <w:rsid w:val="00E54BD1"/>
    <w:rPr>
      <w:color w:val="0000FF"/>
      <w:u w:val="single"/>
    </w:rPr>
  </w:style>
  <w:style w:type="table" w:styleId="TableGrid">
    <w:name w:val="Table Grid"/>
    <w:basedOn w:val="TableNormal"/>
    <w:uiPriority w:val="39"/>
    <w:rsid w:val="00E54BD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4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D1"/>
    <w:rPr>
      <w:rFonts w:ascii="Segoe UI" w:hAnsi="Segoe UI" w:cs="Segoe UI"/>
      <w:sz w:val="18"/>
      <w:szCs w:val="18"/>
    </w:rPr>
  </w:style>
  <w:style w:type="paragraph" w:styleId="FootnoteText">
    <w:name w:val="footnote text"/>
    <w:basedOn w:val="Normal"/>
    <w:link w:val="FootnoteTextChar"/>
    <w:rsid w:val="00685C25"/>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85C25"/>
    <w:rPr>
      <w:rFonts w:ascii="Arial" w:eastAsia="Times New Roman" w:hAnsi="Arial" w:cs="Times New Roman"/>
      <w:sz w:val="20"/>
      <w:szCs w:val="20"/>
    </w:rPr>
  </w:style>
  <w:style w:type="character" w:styleId="FootnoteReference">
    <w:name w:val="footnote reference"/>
    <w:basedOn w:val="DefaultParagraphFont"/>
    <w:rsid w:val="00685C25"/>
    <w:rPr>
      <w:vertAlign w:val="superscript"/>
    </w:rPr>
  </w:style>
  <w:style w:type="paragraph" w:styleId="NormalWeb">
    <w:name w:val="Normal (Web)"/>
    <w:basedOn w:val="Normal"/>
    <w:uiPriority w:val="99"/>
    <w:unhideWhenUsed/>
    <w:rsid w:val="009D2F91"/>
    <w:pPr>
      <w:spacing w:before="100" w:beforeAutospacing="1" w:after="100" w:afterAutospacing="1" w:line="240" w:lineRule="auto"/>
    </w:pPr>
    <w:rPr>
      <w:rFonts w:eastAsia="Times New Roman" w:cs="Times New Roman"/>
      <w:sz w:val="24"/>
      <w:szCs w:val="24"/>
    </w:rPr>
  </w:style>
  <w:style w:type="paragraph" w:customStyle="1" w:styleId="Default">
    <w:name w:val="Default"/>
    <w:rsid w:val="00750CE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9E5E0D"/>
    <w:pPr>
      <w:widowControl w:val="0"/>
      <w:spacing w:after="0" w:line="240" w:lineRule="auto"/>
      <w:ind w:left="1207"/>
    </w:pPr>
    <w:rPr>
      <w:rFonts w:ascii="Arial" w:eastAsia="Arial" w:hAnsi="Arial"/>
      <w:sz w:val="21"/>
      <w:szCs w:val="21"/>
    </w:rPr>
  </w:style>
  <w:style w:type="character" w:customStyle="1" w:styleId="BodyTextChar">
    <w:name w:val="Body Text Char"/>
    <w:basedOn w:val="DefaultParagraphFont"/>
    <w:link w:val="BodyText"/>
    <w:uiPriority w:val="1"/>
    <w:rsid w:val="009E5E0D"/>
    <w:rPr>
      <w:rFonts w:ascii="Arial" w:eastAsia="Arial" w:hAnsi="Arial"/>
      <w:sz w:val="21"/>
      <w:szCs w:val="21"/>
    </w:rPr>
  </w:style>
  <w:style w:type="paragraph" w:styleId="ListParagraph">
    <w:name w:val="List Paragraph"/>
    <w:basedOn w:val="Normal"/>
    <w:uiPriority w:val="1"/>
    <w:qFormat/>
    <w:rsid w:val="0039572C"/>
    <w:pPr>
      <w:ind w:left="720"/>
      <w:contextualSpacing/>
    </w:pPr>
  </w:style>
  <w:style w:type="paragraph" w:customStyle="1" w:styleId="Style1">
    <w:name w:val="Style1"/>
    <w:basedOn w:val="Normal"/>
    <w:rsid w:val="00AD709F"/>
    <w:pPr>
      <w:spacing w:after="0" w:line="240" w:lineRule="auto"/>
      <w:ind w:left="720" w:right="720"/>
    </w:pPr>
    <w:rPr>
      <w:rFonts w:ascii="Arial" w:eastAsia="Times New Roman" w:hAnsi="Arial" w:cs="Arial"/>
      <w:color w:val="000080"/>
      <w:szCs w:val="20"/>
    </w:rPr>
  </w:style>
  <w:style w:type="character" w:styleId="CommentReference">
    <w:name w:val="annotation reference"/>
    <w:basedOn w:val="DefaultParagraphFont"/>
    <w:uiPriority w:val="99"/>
    <w:semiHidden/>
    <w:unhideWhenUsed/>
    <w:rsid w:val="00E124F8"/>
    <w:rPr>
      <w:sz w:val="16"/>
      <w:szCs w:val="16"/>
    </w:rPr>
  </w:style>
  <w:style w:type="paragraph" w:styleId="CommentText">
    <w:name w:val="annotation text"/>
    <w:basedOn w:val="Normal"/>
    <w:link w:val="CommentTextChar"/>
    <w:uiPriority w:val="99"/>
    <w:semiHidden/>
    <w:unhideWhenUsed/>
    <w:rsid w:val="00E124F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E124F8"/>
    <w:rPr>
      <w:rFonts w:ascii="Arial" w:eastAsia="Times New Roman" w:hAnsi="Arial" w:cs="Times New Roman"/>
      <w:sz w:val="20"/>
      <w:szCs w:val="20"/>
    </w:rPr>
  </w:style>
  <w:style w:type="paragraph" w:customStyle="1" w:styleId="Style11">
    <w:name w:val="Style11"/>
    <w:basedOn w:val="Normal"/>
    <w:rsid w:val="00507A57"/>
    <w:pPr>
      <w:tabs>
        <w:tab w:val="left" w:pos="420"/>
        <w:tab w:val="left" w:pos="4320"/>
        <w:tab w:val="right" w:pos="9360"/>
      </w:tabs>
      <w:spacing w:before="60" w:after="60" w:line="240" w:lineRule="auto"/>
    </w:pPr>
    <w:rPr>
      <w:rFonts w:ascii="Arial" w:eastAsia="Times New Roman" w:hAnsi="Arial" w:cs="Arial"/>
      <w:bCs/>
      <w:szCs w:val="20"/>
    </w:rPr>
  </w:style>
  <w:style w:type="table" w:customStyle="1" w:styleId="TableGrid1">
    <w:name w:val="Table Grid1"/>
    <w:basedOn w:val="TableNormal"/>
    <w:next w:val="TableGrid"/>
    <w:uiPriority w:val="39"/>
    <w:rsid w:val="005F0C1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8145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7766">
      <w:bodyDiv w:val="1"/>
      <w:marLeft w:val="0"/>
      <w:marRight w:val="0"/>
      <w:marTop w:val="0"/>
      <w:marBottom w:val="0"/>
      <w:divBdr>
        <w:top w:val="none" w:sz="0" w:space="0" w:color="auto"/>
        <w:left w:val="none" w:sz="0" w:space="0" w:color="auto"/>
        <w:bottom w:val="none" w:sz="0" w:space="0" w:color="auto"/>
        <w:right w:val="none" w:sz="0" w:space="0" w:color="auto"/>
      </w:divBdr>
    </w:div>
    <w:div w:id="543829568">
      <w:bodyDiv w:val="1"/>
      <w:marLeft w:val="0"/>
      <w:marRight w:val="0"/>
      <w:marTop w:val="0"/>
      <w:marBottom w:val="0"/>
      <w:divBdr>
        <w:top w:val="none" w:sz="0" w:space="0" w:color="auto"/>
        <w:left w:val="none" w:sz="0" w:space="0" w:color="auto"/>
        <w:bottom w:val="none" w:sz="0" w:space="0" w:color="auto"/>
        <w:right w:val="none" w:sz="0" w:space="0" w:color="auto"/>
      </w:divBdr>
    </w:div>
    <w:div w:id="1001349366">
      <w:bodyDiv w:val="1"/>
      <w:marLeft w:val="0"/>
      <w:marRight w:val="0"/>
      <w:marTop w:val="0"/>
      <w:marBottom w:val="0"/>
      <w:divBdr>
        <w:top w:val="none" w:sz="0" w:space="0" w:color="auto"/>
        <w:left w:val="none" w:sz="0" w:space="0" w:color="auto"/>
        <w:bottom w:val="none" w:sz="0" w:space="0" w:color="auto"/>
        <w:right w:val="none" w:sz="0" w:space="0" w:color="auto"/>
      </w:divBdr>
    </w:div>
    <w:div w:id="1806046560">
      <w:bodyDiv w:val="1"/>
      <w:marLeft w:val="0"/>
      <w:marRight w:val="0"/>
      <w:marTop w:val="0"/>
      <w:marBottom w:val="0"/>
      <w:divBdr>
        <w:top w:val="none" w:sz="0" w:space="0" w:color="auto"/>
        <w:left w:val="none" w:sz="0" w:space="0" w:color="auto"/>
        <w:bottom w:val="none" w:sz="0" w:space="0" w:color="auto"/>
        <w:right w:val="none" w:sz="0" w:space="0" w:color="auto"/>
      </w:divBdr>
    </w:div>
    <w:div w:id="19544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8C7E-962C-40C0-97FF-2CD1C29F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 Dylan</dc:creator>
  <cp:keywords/>
  <dc:description/>
  <cp:lastModifiedBy>Ashley Mathers</cp:lastModifiedBy>
  <cp:revision>8</cp:revision>
  <cp:lastPrinted>2018-10-02T15:04:00Z</cp:lastPrinted>
  <dcterms:created xsi:type="dcterms:W3CDTF">2019-03-22T15:24:00Z</dcterms:created>
  <dcterms:modified xsi:type="dcterms:W3CDTF">2019-05-28T18:47:00Z</dcterms:modified>
</cp:coreProperties>
</file>