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2"/>
        <w:tblpPr w:leftFromText="180" w:rightFromText="180" w:vertAnchor="text" w:horzAnchor="margin" w:tblpXSpec="right" w:tblpY="91"/>
        <w:tblW w:w="0" w:type="auto"/>
        <w:tblLook w:val="04A0" w:firstRow="1" w:lastRow="0" w:firstColumn="1" w:lastColumn="0" w:noHBand="0" w:noVBand="1"/>
      </w:tblPr>
      <w:tblGrid>
        <w:gridCol w:w="1620"/>
        <w:gridCol w:w="1795"/>
      </w:tblGrid>
      <w:tr w:rsidR="00E81451" w:rsidRPr="00E81451" w:rsidTr="00E81451">
        <w:tc>
          <w:tcPr>
            <w:tcW w:w="1620" w:type="dxa"/>
          </w:tcPr>
          <w:p w:rsidR="00E81451" w:rsidRPr="00E81451" w:rsidRDefault="00E81451" w:rsidP="00E81451">
            <w:pPr>
              <w:rPr>
                <w:rFonts w:ascii="Arial" w:eastAsia="Calibri" w:hAnsi="Arial" w:cs="Arial"/>
                <w:sz w:val="20"/>
                <w:szCs w:val="20"/>
              </w:rPr>
            </w:pPr>
            <w:bookmarkStart w:id="0" w:name="_GoBack"/>
            <w:bookmarkEnd w:id="0"/>
            <w:r w:rsidRPr="00E81451">
              <w:rPr>
                <w:rFonts w:ascii="Arial" w:eastAsia="Calibri" w:hAnsi="Arial" w:cs="Arial"/>
                <w:sz w:val="20"/>
                <w:szCs w:val="20"/>
              </w:rPr>
              <w:t xml:space="preserve">Policy No. </w:t>
            </w:r>
          </w:p>
        </w:tc>
        <w:tc>
          <w:tcPr>
            <w:tcW w:w="1795" w:type="dxa"/>
          </w:tcPr>
          <w:p w:rsidR="00E81451" w:rsidRPr="00E81451" w:rsidRDefault="00E81451" w:rsidP="00E81451">
            <w:pPr>
              <w:rPr>
                <w:rFonts w:ascii="Arial" w:eastAsia="Calibri" w:hAnsi="Arial" w:cs="Arial"/>
                <w:sz w:val="72"/>
                <w:szCs w:val="72"/>
              </w:rPr>
            </w:pPr>
            <w:r>
              <w:rPr>
                <w:rFonts w:ascii="Montserrat-Bold" w:eastAsia="Calibri" w:hAnsi="Montserrat-Bold" w:cs="Montserrat-Bold"/>
                <w:b/>
                <w:bCs/>
                <w:color w:val="BB1F53"/>
                <w:sz w:val="72"/>
                <w:szCs w:val="72"/>
              </w:rPr>
              <w:t>1</w:t>
            </w:r>
            <w:r w:rsidRPr="00B13F81">
              <w:rPr>
                <w:rFonts w:ascii="Montserrat-Bold" w:eastAsia="Calibri" w:hAnsi="Montserrat-Bold" w:cs="Montserrat-Bold"/>
                <w:b/>
                <w:bCs/>
                <w:color w:val="BB1F53"/>
                <w:sz w:val="72"/>
                <w:szCs w:val="72"/>
              </w:rPr>
              <w:t>4</w:t>
            </w:r>
          </w:p>
        </w:tc>
      </w:tr>
      <w:tr w:rsidR="00E81451" w:rsidRPr="00E81451" w:rsidTr="00E81451">
        <w:tc>
          <w:tcPr>
            <w:tcW w:w="1620" w:type="dxa"/>
          </w:tcPr>
          <w:p w:rsidR="00E81451" w:rsidRPr="00E81451" w:rsidRDefault="00E81451" w:rsidP="00E81451">
            <w:pPr>
              <w:rPr>
                <w:rFonts w:ascii="Arial" w:eastAsia="Calibri" w:hAnsi="Arial" w:cs="Arial"/>
                <w:sz w:val="20"/>
                <w:szCs w:val="20"/>
              </w:rPr>
            </w:pPr>
            <w:r w:rsidRPr="00E81451">
              <w:rPr>
                <w:rFonts w:ascii="Arial" w:eastAsia="Calibri" w:hAnsi="Arial" w:cs="Arial"/>
                <w:sz w:val="20"/>
                <w:szCs w:val="20"/>
              </w:rPr>
              <w:t>Effective Date</w:t>
            </w:r>
          </w:p>
        </w:tc>
        <w:tc>
          <w:tcPr>
            <w:tcW w:w="1795" w:type="dxa"/>
          </w:tcPr>
          <w:p w:rsidR="00E81451" w:rsidRPr="00E81451" w:rsidRDefault="00E81451" w:rsidP="00E81451">
            <w:pPr>
              <w:rPr>
                <w:rFonts w:ascii="Arial" w:eastAsia="Calibri" w:hAnsi="Arial" w:cs="Arial"/>
                <w:sz w:val="20"/>
                <w:szCs w:val="20"/>
              </w:rPr>
            </w:pPr>
            <w:r w:rsidRPr="00E81451">
              <w:rPr>
                <w:rFonts w:ascii="Arial" w:eastAsia="Calibri" w:hAnsi="Arial" w:cs="Arial"/>
                <w:sz w:val="20"/>
                <w:szCs w:val="20"/>
              </w:rPr>
              <w:t>1</w:t>
            </w:r>
            <w:r>
              <w:rPr>
                <w:rFonts w:ascii="Arial" w:eastAsia="Calibri" w:hAnsi="Arial" w:cs="Arial"/>
                <w:sz w:val="20"/>
                <w:szCs w:val="20"/>
              </w:rPr>
              <w:t>0/19</w:t>
            </w:r>
            <w:r w:rsidRPr="00E81451">
              <w:rPr>
                <w:rFonts w:ascii="Arial" w:eastAsia="Calibri" w:hAnsi="Arial" w:cs="Arial"/>
                <w:sz w:val="20"/>
                <w:szCs w:val="20"/>
              </w:rPr>
              <w:t>/2018</w:t>
            </w:r>
          </w:p>
        </w:tc>
      </w:tr>
      <w:tr w:rsidR="00E81451" w:rsidRPr="00E81451" w:rsidTr="00E81451">
        <w:tc>
          <w:tcPr>
            <w:tcW w:w="1620" w:type="dxa"/>
          </w:tcPr>
          <w:p w:rsidR="00E81451" w:rsidRPr="00E81451" w:rsidRDefault="00E81451" w:rsidP="00E81451">
            <w:pPr>
              <w:rPr>
                <w:rFonts w:ascii="Arial" w:eastAsia="Calibri" w:hAnsi="Arial" w:cs="Arial"/>
                <w:sz w:val="20"/>
                <w:szCs w:val="20"/>
              </w:rPr>
            </w:pPr>
            <w:r w:rsidRPr="00E81451">
              <w:rPr>
                <w:rFonts w:ascii="Arial" w:eastAsia="Calibri" w:hAnsi="Arial" w:cs="Arial"/>
                <w:sz w:val="20"/>
                <w:szCs w:val="20"/>
              </w:rPr>
              <w:t xml:space="preserve">Approval </w:t>
            </w:r>
          </w:p>
        </w:tc>
        <w:tc>
          <w:tcPr>
            <w:tcW w:w="1795" w:type="dxa"/>
          </w:tcPr>
          <w:p w:rsidR="00E81451" w:rsidRPr="00E81451" w:rsidRDefault="00E81451" w:rsidP="00E81451">
            <w:pPr>
              <w:rPr>
                <w:rFonts w:ascii="Arial" w:eastAsia="Calibri" w:hAnsi="Arial" w:cs="Arial"/>
                <w:sz w:val="20"/>
                <w:szCs w:val="20"/>
              </w:rPr>
            </w:pPr>
            <w:r w:rsidRPr="00E81451">
              <w:rPr>
                <w:rFonts w:ascii="Arial" w:eastAsia="Calibri" w:hAnsi="Arial" w:cs="Arial"/>
                <w:sz w:val="20"/>
                <w:szCs w:val="20"/>
              </w:rPr>
              <w:t xml:space="preserve">GNWDB </w:t>
            </w:r>
          </w:p>
        </w:tc>
      </w:tr>
    </w:tbl>
    <w:p w:rsidR="00E81451" w:rsidRPr="00F53B2A" w:rsidRDefault="00E81451" w:rsidP="00E81451">
      <w:pPr>
        <w:rPr>
          <w:rFonts w:ascii="Arial" w:hAnsi="Arial" w:cs="Arial"/>
          <w:b/>
          <w:bCs/>
          <w:color w:val="00607F"/>
          <w:sz w:val="48"/>
          <w:szCs w:val="48"/>
        </w:rPr>
      </w:pPr>
      <w:r>
        <w:rPr>
          <w:rFonts w:ascii="Arial" w:hAnsi="Arial" w:cs="Arial"/>
          <w:b/>
          <w:bCs/>
          <w:color w:val="00607F"/>
          <w:sz w:val="48"/>
          <w:szCs w:val="48"/>
        </w:rPr>
        <w:t>Individual Training Acco</w:t>
      </w:r>
      <w:r w:rsidRPr="001D3870">
        <w:rPr>
          <w:rFonts w:ascii="Arial" w:hAnsi="Arial" w:cs="Arial"/>
          <w:b/>
          <w:bCs/>
          <w:color w:val="00607F"/>
          <w:sz w:val="48"/>
          <w:szCs w:val="48"/>
        </w:rPr>
        <w:t>u</w:t>
      </w:r>
      <w:r>
        <w:rPr>
          <w:rFonts w:ascii="Arial" w:hAnsi="Arial" w:cs="Arial"/>
          <w:b/>
          <w:bCs/>
          <w:color w:val="00607F"/>
          <w:sz w:val="48"/>
          <w:szCs w:val="48"/>
        </w:rPr>
        <w:t xml:space="preserve">nts Policy </w:t>
      </w:r>
    </w:p>
    <w:p w:rsidR="00E81451" w:rsidRDefault="00E81451" w:rsidP="00685C25">
      <w:pPr>
        <w:spacing w:after="0" w:line="240" w:lineRule="auto"/>
        <w:rPr>
          <w:rFonts w:eastAsia="Times New Roman" w:cs="Times New Roman"/>
          <w:b/>
          <w:u w:val="single"/>
        </w:rPr>
      </w:pPr>
    </w:p>
    <w:p w:rsidR="00685C25" w:rsidRPr="001D3870" w:rsidRDefault="00685C25" w:rsidP="00E124F8">
      <w:pPr>
        <w:spacing w:after="0" w:line="240" w:lineRule="auto"/>
        <w:jc w:val="both"/>
        <w:rPr>
          <w:rFonts w:eastAsia="Times New Roman" w:cs="Times New Roman"/>
          <w:b/>
          <w:color w:val="00607F"/>
          <w:u w:val="single"/>
        </w:rPr>
      </w:pPr>
      <w:r w:rsidRPr="001D3870">
        <w:rPr>
          <w:rFonts w:eastAsia="+mn-ea" w:cs="Times New Roman"/>
          <w:b/>
          <w:bCs/>
          <w:color w:val="00607F"/>
          <w:kern w:val="24"/>
          <w:sz w:val="28"/>
          <w:szCs w:val="28"/>
          <w:u w:val="single"/>
        </w:rPr>
        <w:t>Reference</w:t>
      </w:r>
      <w:r w:rsidR="009D2F91" w:rsidRPr="001D3870">
        <w:rPr>
          <w:rFonts w:eastAsia="Times New Roman" w:cs="Times New Roman"/>
          <w:b/>
          <w:color w:val="00607F"/>
          <w:u w:val="single"/>
        </w:rPr>
        <w:t xml:space="preserve"> </w:t>
      </w:r>
    </w:p>
    <w:p w:rsidR="006C784E" w:rsidRPr="00045ECF" w:rsidRDefault="006C784E" w:rsidP="00E124F8">
      <w:pPr>
        <w:spacing w:after="0" w:line="240" w:lineRule="auto"/>
        <w:jc w:val="both"/>
      </w:pPr>
      <w:r w:rsidRPr="00045ECF">
        <w:t xml:space="preserve">Workforce Innovation and Opportunity Act (WIOA), Sections 122 and 134; </w:t>
      </w:r>
      <w:r w:rsidR="008747BA" w:rsidRPr="00045ECF">
        <w:t xml:space="preserve">20 CFR </w:t>
      </w:r>
      <w:r w:rsidR="008842CF" w:rsidRPr="00045ECF">
        <w:t>§§ 680.21</w:t>
      </w:r>
      <w:r w:rsidR="00B94F97" w:rsidRPr="00045ECF">
        <w:t>0-680.35</w:t>
      </w:r>
      <w:r w:rsidRPr="00045ECF">
        <w:t xml:space="preserve">0; </w:t>
      </w:r>
      <w:r w:rsidR="00045ECF" w:rsidRPr="00045ECF">
        <w:t>TEGL 19-16</w:t>
      </w:r>
      <w:r w:rsidRPr="00045ECF">
        <w:t xml:space="preserve">, </w:t>
      </w:r>
      <w:r w:rsidR="002220B2" w:rsidRPr="00045ECF">
        <w:t>Nebraska Department of Labor (N</w:t>
      </w:r>
      <w:r w:rsidR="00123E96" w:rsidRPr="00045ECF">
        <w:t>DOL) Eligible Training Provider Policy</w:t>
      </w:r>
      <w:r w:rsidR="002220B2" w:rsidRPr="00045ECF">
        <w:t>.</w:t>
      </w:r>
      <w:r w:rsidR="002220B2" w:rsidRPr="00123E96">
        <w:t xml:space="preserve"> </w:t>
      </w:r>
    </w:p>
    <w:p w:rsidR="009E5E0D" w:rsidRPr="0080664C" w:rsidRDefault="009E5E0D" w:rsidP="00E124F8">
      <w:pPr>
        <w:spacing w:after="0" w:line="240" w:lineRule="auto"/>
        <w:jc w:val="both"/>
        <w:rPr>
          <w:rFonts w:eastAsia="Times New Roman" w:cs="Times New Roman"/>
        </w:rPr>
      </w:pPr>
    </w:p>
    <w:p w:rsidR="00685C25" w:rsidRPr="0080664C" w:rsidRDefault="00685C25" w:rsidP="00E53209">
      <w:pPr>
        <w:tabs>
          <w:tab w:val="left" w:pos="8595"/>
        </w:tabs>
        <w:spacing w:after="0" w:line="240" w:lineRule="auto"/>
        <w:jc w:val="both"/>
        <w:rPr>
          <w:rFonts w:eastAsia="+mn-ea" w:cs="Times New Roman"/>
          <w:b/>
          <w:bCs/>
          <w:color w:val="00607F"/>
          <w:kern w:val="24"/>
          <w:sz w:val="28"/>
          <w:szCs w:val="28"/>
          <w:u w:val="single"/>
        </w:rPr>
      </w:pPr>
      <w:r w:rsidRPr="0080664C">
        <w:rPr>
          <w:rFonts w:eastAsia="+mn-ea" w:cs="Times New Roman"/>
          <w:b/>
          <w:bCs/>
          <w:color w:val="00607F"/>
          <w:kern w:val="24"/>
          <w:sz w:val="28"/>
          <w:szCs w:val="28"/>
          <w:u w:val="single"/>
        </w:rPr>
        <w:t xml:space="preserve">Policy </w:t>
      </w:r>
      <w:r w:rsidR="00E53209">
        <w:rPr>
          <w:rFonts w:eastAsia="+mn-ea" w:cs="Times New Roman"/>
          <w:b/>
          <w:bCs/>
          <w:color w:val="00607F"/>
          <w:kern w:val="24"/>
          <w:sz w:val="28"/>
          <w:szCs w:val="28"/>
          <w:u w:val="single"/>
        </w:rPr>
        <w:tab/>
      </w:r>
    </w:p>
    <w:p w:rsidR="00045ECF" w:rsidRDefault="00045ECF" w:rsidP="00045ECF">
      <w:pPr>
        <w:spacing w:after="0" w:line="240" w:lineRule="auto"/>
        <w:jc w:val="both"/>
      </w:pPr>
    </w:p>
    <w:p w:rsidR="00045ECF" w:rsidRPr="005B3B52" w:rsidRDefault="00045ECF" w:rsidP="00045ECF">
      <w:pPr>
        <w:spacing w:after="0" w:line="240" w:lineRule="auto"/>
        <w:jc w:val="both"/>
        <w:rPr>
          <w:rFonts w:cs="Times New Roman"/>
          <w:sz w:val="24"/>
          <w:szCs w:val="24"/>
        </w:rPr>
      </w:pPr>
      <w:r w:rsidRPr="005B3B52">
        <w:rPr>
          <w:rFonts w:cs="Times New Roman"/>
          <w:sz w:val="24"/>
          <w:szCs w:val="24"/>
        </w:rPr>
        <w:t>The Workforce Innovation and Opportunity Act</w:t>
      </w:r>
      <w:r w:rsidR="00922337">
        <w:rPr>
          <w:rFonts w:cs="Times New Roman"/>
          <w:sz w:val="24"/>
          <w:szCs w:val="24"/>
        </w:rPr>
        <w:t xml:space="preserve"> (WIOA)</w:t>
      </w:r>
      <w:r w:rsidRPr="005B3B52">
        <w:rPr>
          <w:rFonts w:cs="Times New Roman"/>
          <w:sz w:val="24"/>
          <w:szCs w:val="24"/>
        </w:rPr>
        <w:t xml:space="preserve"> mandates that all training services, except for limited exception identified in the Contracting with Training Providers Policy, be provided through the use of </w:t>
      </w:r>
      <w:r w:rsidR="000D04C8">
        <w:rPr>
          <w:rFonts w:cs="Times New Roman"/>
          <w:sz w:val="24"/>
          <w:szCs w:val="24"/>
        </w:rPr>
        <w:t>Individual Training Accounts (</w:t>
      </w:r>
      <w:r w:rsidRPr="005B3B52">
        <w:rPr>
          <w:rFonts w:cs="Times New Roman"/>
          <w:sz w:val="24"/>
          <w:szCs w:val="24"/>
        </w:rPr>
        <w:t>ITAs</w:t>
      </w:r>
      <w:r w:rsidR="000D04C8">
        <w:rPr>
          <w:rFonts w:cs="Times New Roman"/>
          <w:sz w:val="24"/>
          <w:szCs w:val="24"/>
        </w:rPr>
        <w:t>)</w:t>
      </w:r>
      <w:r w:rsidRPr="005B3B52">
        <w:rPr>
          <w:rFonts w:cs="Times New Roman"/>
          <w:sz w:val="24"/>
          <w:szCs w:val="24"/>
        </w:rPr>
        <w:t xml:space="preserve"> and that eligibl</w:t>
      </w:r>
      <w:r w:rsidR="000D04C8">
        <w:rPr>
          <w:rFonts w:cs="Times New Roman"/>
          <w:sz w:val="24"/>
          <w:szCs w:val="24"/>
        </w:rPr>
        <w:t>e individuals shall receive ITA</w:t>
      </w:r>
      <w:r w:rsidRPr="005B3B52">
        <w:rPr>
          <w:rFonts w:cs="Times New Roman"/>
          <w:sz w:val="24"/>
          <w:szCs w:val="24"/>
        </w:rPr>
        <w:t xml:space="preserve">s through the one-stop delivery system. </w:t>
      </w:r>
    </w:p>
    <w:p w:rsidR="00045ECF" w:rsidRPr="005B3B52" w:rsidRDefault="00045ECF" w:rsidP="007A6585">
      <w:pPr>
        <w:spacing w:after="0" w:line="240" w:lineRule="auto"/>
        <w:jc w:val="both"/>
        <w:rPr>
          <w:rFonts w:cs="Times New Roman"/>
          <w:color w:val="000000"/>
          <w:sz w:val="24"/>
          <w:szCs w:val="24"/>
        </w:rPr>
      </w:pPr>
    </w:p>
    <w:p w:rsidR="0082622F" w:rsidRPr="00654DF4" w:rsidRDefault="00DD5D07" w:rsidP="0082622F">
      <w:pPr>
        <w:spacing w:after="0" w:line="240" w:lineRule="auto"/>
        <w:jc w:val="both"/>
        <w:rPr>
          <w:rFonts w:eastAsia="+mn-ea" w:cs="Times New Roman"/>
          <w:b/>
          <w:bCs/>
          <w:color w:val="00607F"/>
          <w:kern w:val="24"/>
          <w:sz w:val="24"/>
          <w:szCs w:val="24"/>
        </w:rPr>
      </w:pPr>
      <w:r w:rsidRPr="00B13F81">
        <w:rPr>
          <w:rFonts w:eastAsia="+mn-ea" w:cs="Times New Roman"/>
          <w:b/>
          <w:bCs/>
          <w:color w:val="BB1F53"/>
          <w:kern w:val="24"/>
          <w:sz w:val="24"/>
          <w:szCs w:val="24"/>
        </w:rPr>
        <w:t>Eligibility</w:t>
      </w:r>
      <w:r w:rsidR="00D95D82" w:rsidRPr="00654DF4">
        <w:rPr>
          <w:rFonts w:eastAsia="+mn-ea" w:cs="Times New Roman"/>
          <w:b/>
          <w:bCs/>
          <w:color w:val="00607F"/>
          <w:kern w:val="24"/>
          <w:sz w:val="24"/>
          <w:szCs w:val="24"/>
        </w:rPr>
        <w:t xml:space="preserve"> </w:t>
      </w:r>
    </w:p>
    <w:p w:rsidR="00045ECF" w:rsidRPr="005B3B52" w:rsidRDefault="00045ECF" w:rsidP="0082622F">
      <w:pPr>
        <w:spacing w:after="0" w:line="240" w:lineRule="auto"/>
        <w:jc w:val="both"/>
        <w:rPr>
          <w:rFonts w:eastAsia="+mn-ea" w:cs="Times New Roman"/>
          <w:bCs/>
          <w:color w:val="00607F"/>
          <w:kern w:val="24"/>
          <w:sz w:val="24"/>
          <w:szCs w:val="24"/>
        </w:rPr>
      </w:pPr>
    </w:p>
    <w:p w:rsidR="006E692B" w:rsidRPr="00D555AD" w:rsidRDefault="0082622F" w:rsidP="0082622F">
      <w:pPr>
        <w:autoSpaceDE w:val="0"/>
        <w:autoSpaceDN w:val="0"/>
        <w:adjustRightInd w:val="0"/>
        <w:spacing w:after="0" w:line="240" w:lineRule="auto"/>
        <w:rPr>
          <w:rFonts w:cs="Times New Roman"/>
          <w:color w:val="000000"/>
          <w:sz w:val="24"/>
          <w:szCs w:val="24"/>
        </w:rPr>
      </w:pPr>
      <w:r w:rsidRPr="005B3B52">
        <w:rPr>
          <w:rFonts w:cs="Times New Roman"/>
          <w:color w:val="000000"/>
          <w:sz w:val="24"/>
          <w:szCs w:val="24"/>
        </w:rPr>
        <w:t>Training services may be made available to employed and unemployed adults, dislocated workers and youth</w:t>
      </w:r>
      <w:r w:rsidR="00847C44">
        <w:rPr>
          <w:rFonts w:cs="Times New Roman"/>
          <w:color w:val="000000"/>
          <w:sz w:val="24"/>
          <w:szCs w:val="24"/>
        </w:rPr>
        <w:t xml:space="preserve"> after</w:t>
      </w:r>
      <w:r w:rsidR="00BD71F9" w:rsidRPr="005B3B52">
        <w:rPr>
          <w:rFonts w:cs="Times New Roman"/>
          <w:color w:val="000000"/>
          <w:sz w:val="24"/>
          <w:szCs w:val="24"/>
        </w:rPr>
        <w:t xml:space="preserve"> </w:t>
      </w:r>
      <w:r w:rsidR="008842CF" w:rsidRPr="005B3B52">
        <w:rPr>
          <w:rFonts w:cs="Times New Roman"/>
          <w:color w:val="000000"/>
          <w:sz w:val="24"/>
          <w:szCs w:val="24"/>
        </w:rPr>
        <w:t>a</w:t>
      </w:r>
      <w:r w:rsidR="00003CFD">
        <w:rPr>
          <w:rFonts w:cs="Times New Roman"/>
          <w:color w:val="000000"/>
          <w:sz w:val="24"/>
          <w:szCs w:val="24"/>
        </w:rPr>
        <w:t xml:space="preserve"> career planner </w:t>
      </w:r>
      <w:r w:rsidR="00847C44">
        <w:rPr>
          <w:rFonts w:cs="Times New Roman"/>
          <w:color w:val="000000"/>
          <w:sz w:val="24"/>
          <w:szCs w:val="24"/>
        </w:rPr>
        <w:t>determines, through</w:t>
      </w:r>
      <w:r w:rsidRPr="005B3B52">
        <w:rPr>
          <w:rFonts w:cs="Times New Roman"/>
          <w:color w:val="000000"/>
          <w:sz w:val="24"/>
          <w:szCs w:val="24"/>
        </w:rPr>
        <w:t xml:space="preserve"> an interview, evaluation, or </w:t>
      </w:r>
      <w:r w:rsidRPr="00D555AD">
        <w:rPr>
          <w:rFonts w:cs="Times New Roman"/>
          <w:color w:val="000000"/>
          <w:sz w:val="24"/>
          <w:szCs w:val="24"/>
        </w:rPr>
        <w:t>asse</w:t>
      </w:r>
      <w:r w:rsidR="00174B23" w:rsidRPr="00D555AD">
        <w:rPr>
          <w:rFonts w:cs="Times New Roman"/>
          <w:color w:val="000000"/>
          <w:sz w:val="24"/>
          <w:szCs w:val="24"/>
        </w:rPr>
        <w:t>ssment, and career planning, that the individual</w:t>
      </w:r>
      <w:r w:rsidRPr="00D555AD">
        <w:rPr>
          <w:rFonts w:cs="Times New Roman"/>
          <w:color w:val="000000"/>
          <w:sz w:val="24"/>
          <w:szCs w:val="24"/>
        </w:rPr>
        <w:t xml:space="preserve">: </w:t>
      </w:r>
      <w:r w:rsidR="00654DF4" w:rsidRPr="00D555AD">
        <w:rPr>
          <w:rFonts w:cs="Times New Roman"/>
          <w:color w:val="000000"/>
          <w:sz w:val="24"/>
          <w:szCs w:val="24"/>
        </w:rPr>
        <w:tab/>
      </w:r>
    </w:p>
    <w:p w:rsidR="006E692B" w:rsidRPr="00D555AD" w:rsidRDefault="00174B23" w:rsidP="0082622F">
      <w:pPr>
        <w:pStyle w:val="ListParagraph"/>
        <w:numPr>
          <w:ilvl w:val="0"/>
          <w:numId w:val="34"/>
        </w:numPr>
        <w:autoSpaceDE w:val="0"/>
        <w:autoSpaceDN w:val="0"/>
        <w:adjustRightInd w:val="0"/>
        <w:spacing w:after="0" w:line="240" w:lineRule="auto"/>
        <w:rPr>
          <w:rFonts w:cs="Times New Roman"/>
          <w:color w:val="000000"/>
          <w:sz w:val="24"/>
          <w:szCs w:val="24"/>
        </w:rPr>
      </w:pPr>
      <w:r w:rsidRPr="00D555AD">
        <w:rPr>
          <w:rFonts w:cs="Times New Roman"/>
          <w:color w:val="000000"/>
          <w:sz w:val="24"/>
          <w:szCs w:val="24"/>
        </w:rPr>
        <w:t>Is u</w:t>
      </w:r>
      <w:r w:rsidR="0082622F" w:rsidRPr="00D555AD">
        <w:rPr>
          <w:rFonts w:cs="Times New Roman"/>
          <w:color w:val="000000"/>
          <w:sz w:val="24"/>
          <w:szCs w:val="24"/>
        </w:rPr>
        <w:t>nlikely or unable to obtain or retain employment leading to economic self-sufficiency or wages comparable to or higher than wages from previous employmen</w:t>
      </w:r>
      <w:r w:rsidR="00407FFC" w:rsidRPr="00D555AD">
        <w:rPr>
          <w:rFonts w:cs="Times New Roman"/>
          <w:color w:val="000000"/>
          <w:sz w:val="24"/>
          <w:szCs w:val="24"/>
        </w:rPr>
        <w:t>t through career services (</w:t>
      </w:r>
      <w:r w:rsidR="00D251BF" w:rsidRPr="00D555AD">
        <w:rPr>
          <w:rFonts w:cs="Times New Roman"/>
          <w:color w:val="000000"/>
          <w:sz w:val="24"/>
          <w:szCs w:val="24"/>
        </w:rPr>
        <w:t>adults and dislocated w</w:t>
      </w:r>
      <w:r w:rsidR="0082622F" w:rsidRPr="00D555AD">
        <w:rPr>
          <w:rFonts w:cs="Times New Roman"/>
          <w:color w:val="000000"/>
          <w:sz w:val="24"/>
          <w:szCs w:val="24"/>
        </w:rPr>
        <w:t xml:space="preserve">orkers); </w:t>
      </w:r>
    </w:p>
    <w:p w:rsidR="006E692B" w:rsidRPr="00D555AD" w:rsidRDefault="00174B23" w:rsidP="0082622F">
      <w:pPr>
        <w:pStyle w:val="ListParagraph"/>
        <w:numPr>
          <w:ilvl w:val="0"/>
          <w:numId w:val="34"/>
        </w:numPr>
        <w:autoSpaceDE w:val="0"/>
        <w:autoSpaceDN w:val="0"/>
        <w:adjustRightInd w:val="0"/>
        <w:spacing w:after="0" w:line="240" w:lineRule="auto"/>
        <w:rPr>
          <w:rFonts w:cs="Times New Roman"/>
          <w:color w:val="000000"/>
          <w:sz w:val="24"/>
          <w:szCs w:val="24"/>
        </w:rPr>
      </w:pPr>
      <w:r w:rsidRPr="00D555AD">
        <w:rPr>
          <w:rFonts w:cs="Times New Roman"/>
          <w:color w:val="000000"/>
          <w:sz w:val="24"/>
          <w:szCs w:val="24"/>
        </w:rPr>
        <w:t>Is i</w:t>
      </w:r>
      <w:r w:rsidR="0082622F" w:rsidRPr="00D555AD">
        <w:rPr>
          <w:rFonts w:cs="Times New Roman"/>
          <w:color w:val="000000"/>
          <w:sz w:val="24"/>
          <w:szCs w:val="24"/>
        </w:rPr>
        <w:t>n need of training services to obtain or retain employment</w:t>
      </w:r>
      <w:r w:rsidRPr="00D555AD">
        <w:rPr>
          <w:rFonts w:cs="Times New Roman"/>
          <w:color w:val="000000"/>
          <w:sz w:val="24"/>
          <w:szCs w:val="24"/>
        </w:rPr>
        <w:t xml:space="preserve"> that leads</w:t>
      </w:r>
      <w:r w:rsidR="0082622F" w:rsidRPr="00D555AD">
        <w:rPr>
          <w:rFonts w:cs="Times New Roman"/>
          <w:color w:val="000000"/>
          <w:sz w:val="24"/>
          <w:szCs w:val="24"/>
        </w:rPr>
        <w:t xml:space="preserve"> to economic self-sufficiency or wages comparable to or higher than wages</w:t>
      </w:r>
      <w:r w:rsidR="00407FFC" w:rsidRPr="00D555AD">
        <w:rPr>
          <w:rFonts w:cs="Times New Roman"/>
          <w:color w:val="000000"/>
          <w:sz w:val="24"/>
          <w:szCs w:val="24"/>
        </w:rPr>
        <w:t xml:space="preserve"> from previous employment (</w:t>
      </w:r>
      <w:r w:rsidR="00D251BF" w:rsidRPr="00D555AD">
        <w:rPr>
          <w:rFonts w:cs="Times New Roman"/>
          <w:color w:val="000000"/>
          <w:sz w:val="24"/>
          <w:szCs w:val="24"/>
        </w:rPr>
        <w:t>adults and dislocated w</w:t>
      </w:r>
      <w:r w:rsidR="0082622F" w:rsidRPr="00D555AD">
        <w:rPr>
          <w:rFonts w:cs="Times New Roman"/>
          <w:color w:val="000000"/>
          <w:sz w:val="24"/>
          <w:szCs w:val="24"/>
        </w:rPr>
        <w:t xml:space="preserve">orkers); and </w:t>
      </w:r>
    </w:p>
    <w:p w:rsidR="0082622F" w:rsidRPr="00D555AD" w:rsidRDefault="00174B23" w:rsidP="0082622F">
      <w:pPr>
        <w:pStyle w:val="ListParagraph"/>
        <w:numPr>
          <w:ilvl w:val="0"/>
          <w:numId w:val="34"/>
        </w:numPr>
        <w:autoSpaceDE w:val="0"/>
        <w:autoSpaceDN w:val="0"/>
        <w:adjustRightInd w:val="0"/>
        <w:spacing w:after="0" w:line="240" w:lineRule="auto"/>
        <w:rPr>
          <w:rFonts w:cs="Times New Roman"/>
          <w:color w:val="000000"/>
          <w:sz w:val="24"/>
          <w:szCs w:val="24"/>
        </w:rPr>
      </w:pPr>
      <w:r w:rsidRPr="00D555AD">
        <w:rPr>
          <w:rFonts w:cs="Times New Roman"/>
          <w:color w:val="000000"/>
          <w:sz w:val="24"/>
          <w:szCs w:val="24"/>
        </w:rPr>
        <w:t>Has</w:t>
      </w:r>
      <w:r w:rsidR="0082622F" w:rsidRPr="00D555AD">
        <w:rPr>
          <w:rFonts w:cs="Times New Roman"/>
          <w:color w:val="000000"/>
          <w:sz w:val="24"/>
          <w:szCs w:val="24"/>
        </w:rPr>
        <w:t xml:space="preserve"> the skills and qualifications to participate successfully in training services. </w:t>
      </w:r>
    </w:p>
    <w:p w:rsidR="0082622F" w:rsidRPr="005B3B52" w:rsidRDefault="0082622F" w:rsidP="0082622F">
      <w:pPr>
        <w:autoSpaceDE w:val="0"/>
        <w:autoSpaceDN w:val="0"/>
        <w:adjustRightInd w:val="0"/>
        <w:spacing w:after="0" w:line="240" w:lineRule="auto"/>
        <w:rPr>
          <w:rFonts w:cs="Times New Roman"/>
          <w:color w:val="000000"/>
          <w:sz w:val="24"/>
          <w:szCs w:val="24"/>
        </w:rPr>
      </w:pPr>
    </w:p>
    <w:p w:rsidR="006E692B" w:rsidRDefault="00D251BF" w:rsidP="0082622F">
      <w:pPr>
        <w:autoSpaceDE w:val="0"/>
        <w:autoSpaceDN w:val="0"/>
        <w:adjustRightInd w:val="0"/>
        <w:spacing w:after="0" w:line="240" w:lineRule="auto"/>
        <w:rPr>
          <w:rFonts w:cs="Times New Roman"/>
          <w:color w:val="000000"/>
          <w:sz w:val="24"/>
          <w:szCs w:val="24"/>
        </w:rPr>
      </w:pPr>
      <w:r>
        <w:rPr>
          <w:rFonts w:cs="Times New Roman"/>
          <w:color w:val="000000"/>
          <w:sz w:val="24"/>
          <w:szCs w:val="24"/>
        </w:rPr>
        <w:t>Training</w:t>
      </w:r>
      <w:r w:rsidR="0082622F" w:rsidRPr="005B3B52">
        <w:rPr>
          <w:rFonts w:cs="Times New Roman"/>
          <w:color w:val="000000"/>
          <w:sz w:val="24"/>
          <w:szCs w:val="24"/>
        </w:rPr>
        <w:t xml:space="preserve"> </w:t>
      </w:r>
      <w:r w:rsidR="00407FFC" w:rsidRPr="005B3B52">
        <w:rPr>
          <w:rFonts w:cs="Times New Roman"/>
          <w:color w:val="000000"/>
          <w:sz w:val="24"/>
          <w:szCs w:val="24"/>
        </w:rPr>
        <w:t>can also b</w:t>
      </w:r>
      <w:r>
        <w:rPr>
          <w:rFonts w:cs="Times New Roman"/>
          <w:color w:val="000000"/>
          <w:sz w:val="24"/>
          <w:szCs w:val="24"/>
        </w:rPr>
        <w:t>e provided</w:t>
      </w:r>
      <w:r w:rsidR="00407FFC" w:rsidRPr="005B3B52">
        <w:rPr>
          <w:rFonts w:cs="Times New Roman"/>
          <w:color w:val="000000"/>
          <w:sz w:val="24"/>
          <w:szCs w:val="24"/>
        </w:rPr>
        <w:t xml:space="preserve"> </w:t>
      </w:r>
      <w:r w:rsidR="0082622F" w:rsidRPr="005B3B52">
        <w:rPr>
          <w:rFonts w:cs="Times New Roman"/>
          <w:color w:val="000000"/>
          <w:sz w:val="24"/>
          <w:szCs w:val="24"/>
        </w:rPr>
        <w:t xml:space="preserve">when: </w:t>
      </w:r>
    </w:p>
    <w:p w:rsidR="006E692B" w:rsidRDefault="008842CF" w:rsidP="0082622F">
      <w:pPr>
        <w:pStyle w:val="ListParagraph"/>
        <w:numPr>
          <w:ilvl w:val="0"/>
          <w:numId w:val="35"/>
        </w:numPr>
        <w:autoSpaceDE w:val="0"/>
        <w:autoSpaceDN w:val="0"/>
        <w:adjustRightInd w:val="0"/>
        <w:spacing w:after="0" w:line="240" w:lineRule="auto"/>
        <w:rPr>
          <w:rFonts w:cs="Times New Roman"/>
          <w:color w:val="000000"/>
          <w:sz w:val="24"/>
          <w:szCs w:val="24"/>
        </w:rPr>
      </w:pPr>
      <w:r w:rsidRPr="006E692B">
        <w:rPr>
          <w:rFonts w:cs="Times New Roman"/>
          <w:color w:val="000000"/>
          <w:sz w:val="24"/>
          <w:szCs w:val="24"/>
        </w:rPr>
        <w:t>The participant s</w:t>
      </w:r>
      <w:r w:rsidR="0082622F" w:rsidRPr="006E692B">
        <w:rPr>
          <w:rFonts w:cs="Times New Roman"/>
          <w:color w:val="000000"/>
          <w:sz w:val="24"/>
          <w:szCs w:val="24"/>
        </w:rPr>
        <w:t>elect</w:t>
      </w:r>
      <w:r w:rsidRPr="006E692B">
        <w:rPr>
          <w:rFonts w:cs="Times New Roman"/>
          <w:color w:val="000000"/>
          <w:sz w:val="24"/>
          <w:szCs w:val="24"/>
        </w:rPr>
        <w:t>s</w:t>
      </w:r>
      <w:r w:rsidR="0082622F" w:rsidRPr="006E692B">
        <w:rPr>
          <w:rFonts w:cs="Times New Roman"/>
          <w:color w:val="000000"/>
          <w:sz w:val="24"/>
          <w:szCs w:val="24"/>
        </w:rPr>
        <w:t xml:space="preserve"> a program </w:t>
      </w:r>
      <w:r w:rsidRPr="006E692B">
        <w:rPr>
          <w:rFonts w:cs="Times New Roman"/>
          <w:color w:val="000000"/>
          <w:sz w:val="24"/>
          <w:szCs w:val="24"/>
        </w:rPr>
        <w:t xml:space="preserve">of </w:t>
      </w:r>
      <w:r w:rsidR="0082622F" w:rsidRPr="006E692B">
        <w:rPr>
          <w:rFonts w:cs="Times New Roman"/>
          <w:color w:val="000000"/>
          <w:sz w:val="24"/>
          <w:szCs w:val="24"/>
        </w:rPr>
        <w:t>training services that is directly linked to the employment opportu</w:t>
      </w:r>
      <w:r w:rsidR="00847C44" w:rsidRPr="006E692B">
        <w:rPr>
          <w:rFonts w:cs="Times New Roman"/>
          <w:color w:val="000000"/>
          <w:sz w:val="24"/>
          <w:szCs w:val="24"/>
        </w:rPr>
        <w:t xml:space="preserve">nities in the local area or </w:t>
      </w:r>
      <w:r w:rsidR="0082622F" w:rsidRPr="006E692B">
        <w:rPr>
          <w:rFonts w:cs="Times New Roman"/>
          <w:color w:val="000000"/>
          <w:sz w:val="24"/>
          <w:szCs w:val="24"/>
        </w:rPr>
        <w:t>planning region, or in another area to which the individuals are</w:t>
      </w:r>
      <w:r w:rsidRPr="006E692B">
        <w:rPr>
          <w:rFonts w:cs="Times New Roman"/>
          <w:color w:val="000000"/>
          <w:sz w:val="24"/>
          <w:szCs w:val="24"/>
        </w:rPr>
        <w:t xml:space="preserve"> willing to commute or relocate;</w:t>
      </w:r>
      <w:r w:rsidR="0082622F" w:rsidRPr="006E692B">
        <w:rPr>
          <w:rFonts w:cs="Times New Roman"/>
          <w:color w:val="000000"/>
          <w:sz w:val="24"/>
          <w:szCs w:val="24"/>
        </w:rPr>
        <w:t xml:space="preserve"> </w:t>
      </w:r>
    </w:p>
    <w:p w:rsidR="0082622F" w:rsidRPr="006E692B" w:rsidRDefault="0082622F" w:rsidP="0082622F">
      <w:pPr>
        <w:pStyle w:val="ListParagraph"/>
        <w:numPr>
          <w:ilvl w:val="0"/>
          <w:numId w:val="35"/>
        </w:numPr>
        <w:autoSpaceDE w:val="0"/>
        <w:autoSpaceDN w:val="0"/>
        <w:adjustRightInd w:val="0"/>
        <w:spacing w:after="0" w:line="240" w:lineRule="auto"/>
        <w:rPr>
          <w:rFonts w:cs="Times New Roman"/>
          <w:color w:val="000000"/>
          <w:sz w:val="24"/>
          <w:szCs w:val="24"/>
        </w:rPr>
      </w:pPr>
      <w:r w:rsidRPr="006E692B">
        <w:rPr>
          <w:rFonts w:cs="Times New Roman"/>
          <w:color w:val="000000"/>
          <w:sz w:val="24"/>
          <w:szCs w:val="24"/>
        </w:rPr>
        <w:t>A WIOA Adult partic</w:t>
      </w:r>
      <w:r w:rsidR="008842CF" w:rsidRPr="006E692B">
        <w:rPr>
          <w:rFonts w:cs="Times New Roman"/>
          <w:color w:val="000000"/>
          <w:sz w:val="24"/>
          <w:szCs w:val="24"/>
        </w:rPr>
        <w:t xml:space="preserve">ipant is in one of the priority </w:t>
      </w:r>
      <w:r w:rsidRPr="006E692B">
        <w:rPr>
          <w:rFonts w:cs="Times New Roman"/>
          <w:color w:val="000000"/>
          <w:sz w:val="24"/>
          <w:szCs w:val="24"/>
        </w:rPr>
        <w:t xml:space="preserve">populations. </w:t>
      </w:r>
    </w:p>
    <w:p w:rsidR="0082622F" w:rsidRPr="00B13F81" w:rsidRDefault="0082622F" w:rsidP="0082622F">
      <w:pPr>
        <w:autoSpaceDE w:val="0"/>
        <w:autoSpaceDN w:val="0"/>
        <w:adjustRightInd w:val="0"/>
        <w:spacing w:after="0" w:line="240" w:lineRule="auto"/>
        <w:rPr>
          <w:rFonts w:cs="Times New Roman"/>
          <w:color w:val="BB1F53"/>
          <w:sz w:val="24"/>
          <w:szCs w:val="24"/>
        </w:rPr>
      </w:pPr>
    </w:p>
    <w:p w:rsidR="00D16890" w:rsidRPr="00B13F81" w:rsidRDefault="0082622F" w:rsidP="00D16890">
      <w:pPr>
        <w:pStyle w:val="Style11"/>
        <w:spacing w:before="0" w:after="0"/>
        <w:jc w:val="both"/>
        <w:rPr>
          <w:rFonts w:ascii="Times New Roman" w:eastAsia="+mn-ea" w:hAnsi="Times New Roman" w:cs="Times New Roman"/>
          <w:b/>
          <w:color w:val="BB1F53"/>
          <w:kern w:val="24"/>
          <w:sz w:val="24"/>
          <w:szCs w:val="24"/>
        </w:rPr>
      </w:pPr>
      <w:r w:rsidRPr="00B13F81">
        <w:rPr>
          <w:rFonts w:ascii="Times New Roman" w:hAnsi="Times New Roman" w:cs="Times New Roman"/>
          <w:b/>
          <w:color w:val="BB1F53"/>
          <w:sz w:val="24"/>
          <w:szCs w:val="24"/>
        </w:rPr>
        <w:t xml:space="preserve"> </w:t>
      </w:r>
      <w:r w:rsidR="00D16890" w:rsidRPr="00B13F81">
        <w:rPr>
          <w:rFonts w:ascii="Times New Roman" w:eastAsia="+mn-ea" w:hAnsi="Times New Roman" w:cs="Times New Roman"/>
          <w:b/>
          <w:color w:val="BB1F53"/>
          <w:kern w:val="24"/>
          <w:sz w:val="24"/>
          <w:szCs w:val="24"/>
        </w:rPr>
        <w:t xml:space="preserve">Career Services </w:t>
      </w:r>
    </w:p>
    <w:p w:rsidR="00D16890" w:rsidRPr="005B3B52" w:rsidRDefault="00D16890" w:rsidP="00D16890">
      <w:pPr>
        <w:pStyle w:val="Style11"/>
        <w:spacing w:before="0" w:after="0"/>
        <w:jc w:val="both"/>
        <w:rPr>
          <w:rFonts w:ascii="Times New Roman" w:hAnsi="Times New Roman" w:cs="Times New Roman"/>
          <w:bCs w:val="0"/>
          <w:sz w:val="24"/>
          <w:szCs w:val="24"/>
        </w:rPr>
      </w:pPr>
    </w:p>
    <w:p w:rsidR="00D16890" w:rsidRPr="005B3B52" w:rsidRDefault="00D16890" w:rsidP="00D16890">
      <w:pPr>
        <w:spacing w:after="0" w:line="240" w:lineRule="auto"/>
        <w:rPr>
          <w:rFonts w:eastAsia="+mn-ea" w:cs="Times New Roman"/>
          <w:bCs/>
          <w:color w:val="00607F"/>
          <w:kern w:val="24"/>
          <w:sz w:val="24"/>
          <w:szCs w:val="24"/>
        </w:rPr>
      </w:pPr>
      <w:r w:rsidRPr="005B3B52">
        <w:rPr>
          <w:rFonts w:cs="Times New Roman"/>
          <w:sz w:val="24"/>
          <w:szCs w:val="24"/>
        </w:rPr>
        <w:t xml:space="preserve">There is no requirement that career services be provided as a condition for receipt of training services. However, if career services are not provided before training, </w:t>
      </w:r>
      <w:r w:rsidR="000D04C8">
        <w:rPr>
          <w:rFonts w:cs="Times New Roman"/>
          <w:sz w:val="24"/>
          <w:szCs w:val="24"/>
        </w:rPr>
        <w:t>the career planner</w:t>
      </w:r>
      <w:r w:rsidRPr="005B3B52">
        <w:rPr>
          <w:rFonts w:cs="Times New Roman"/>
          <w:sz w:val="24"/>
          <w:szCs w:val="24"/>
        </w:rPr>
        <w:t xml:space="preserve"> must document the circumstances that justified the decision to provide training services without first providing the services.</w:t>
      </w:r>
      <w:r w:rsidRPr="005B3B52">
        <w:rPr>
          <w:rFonts w:eastAsia="+mn-ea" w:cs="Times New Roman"/>
          <w:bCs/>
          <w:color w:val="00607F"/>
          <w:kern w:val="24"/>
          <w:sz w:val="24"/>
          <w:szCs w:val="24"/>
        </w:rPr>
        <w:t xml:space="preserve"> </w:t>
      </w:r>
    </w:p>
    <w:p w:rsidR="00D16890" w:rsidRPr="005B3B52" w:rsidRDefault="00D16890" w:rsidP="00D16890">
      <w:pPr>
        <w:spacing w:after="0" w:line="240" w:lineRule="auto"/>
        <w:rPr>
          <w:rFonts w:eastAsia="+mn-ea" w:cs="Times New Roman"/>
          <w:bCs/>
          <w:color w:val="00607F"/>
          <w:kern w:val="24"/>
          <w:sz w:val="24"/>
          <w:szCs w:val="24"/>
        </w:rPr>
      </w:pPr>
    </w:p>
    <w:p w:rsidR="00D16890" w:rsidRPr="005B3B52" w:rsidRDefault="00D16890" w:rsidP="00D16890">
      <w:pPr>
        <w:pStyle w:val="Default"/>
        <w:rPr>
          <w:rFonts w:ascii="Times New Roman" w:hAnsi="Times New Roman" w:cs="Times New Roman"/>
        </w:rPr>
      </w:pPr>
      <w:r w:rsidRPr="005B3B52">
        <w:rPr>
          <w:rFonts w:ascii="Times New Roman" w:hAnsi="Times New Roman" w:cs="Times New Roman"/>
        </w:rPr>
        <w:t xml:space="preserve">There is no </w:t>
      </w:r>
      <w:r w:rsidR="00045ECF" w:rsidRPr="005B3B52">
        <w:rPr>
          <w:rFonts w:ascii="Times New Roman" w:hAnsi="Times New Roman" w:cs="Times New Roman"/>
        </w:rPr>
        <w:t>federally</w:t>
      </w:r>
      <w:r w:rsidRPr="005B3B52">
        <w:rPr>
          <w:rFonts w:ascii="Times New Roman" w:hAnsi="Times New Roman" w:cs="Times New Roman"/>
        </w:rPr>
        <w:t xml:space="preserve"> required minimum time period for participants to be in career services before receiving training services.</w:t>
      </w:r>
    </w:p>
    <w:p w:rsidR="00D16890" w:rsidRPr="005B3B52" w:rsidRDefault="00D16890" w:rsidP="00D16890">
      <w:pPr>
        <w:spacing w:after="0" w:line="240" w:lineRule="auto"/>
        <w:rPr>
          <w:rFonts w:eastAsia="+mn-ea" w:cs="Times New Roman"/>
          <w:bCs/>
          <w:color w:val="00607F"/>
          <w:kern w:val="24"/>
          <w:sz w:val="24"/>
          <w:szCs w:val="24"/>
        </w:rPr>
      </w:pPr>
    </w:p>
    <w:p w:rsidR="00D16890" w:rsidRPr="00B13F81" w:rsidRDefault="00D16890" w:rsidP="00D16890">
      <w:pPr>
        <w:spacing w:after="0" w:line="240" w:lineRule="auto"/>
        <w:rPr>
          <w:rFonts w:eastAsia="+mn-ea" w:cs="Times New Roman"/>
          <w:b/>
          <w:bCs/>
          <w:color w:val="BB1F53"/>
          <w:kern w:val="24"/>
          <w:sz w:val="24"/>
          <w:szCs w:val="24"/>
        </w:rPr>
      </w:pPr>
      <w:r w:rsidRPr="00B13F81">
        <w:rPr>
          <w:rFonts w:eastAsia="+mn-ea" w:cs="Times New Roman"/>
          <w:b/>
          <w:bCs/>
          <w:color w:val="BB1F53"/>
          <w:kern w:val="24"/>
          <w:sz w:val="24"/>
          <w:szCs w:val="24"/>
        </w:rPr>
        <w:t>Documentation</w:t>
      </w:r>
    </w:p>
    <w:p w:rsidR="00045ECF" w:rsidRPr="005B3B52" w:rsidRDefault="00045ECF" w:rsidP="00D16890">
      <w:pPr>
        <w:spacing w:after="0" w:line="240" w:lineRule="auto"/>
        <w:rPr>
          <w:rFonts w:eastAsia="+mn-ea" w:cs="Times New Roman"/>
          <w:bCs/>
          <w:color w:val="00607F"/>
          <w:kern w:val="24"/>
          <w:sz w:val="24"/>
          <w:szCs w:val="24"/>
        </w:rPr>
      </w:pPr>
    </w:p>
    <w:p w:rsidR="00D16890" w:rsidRPr="009C5549" w:rsidRDefault="00D16890" w:rsidP="00D16890">
      <w:pPr>
        <w:pStyle w:val="Style11"/>
        <w:spacing w:before="0" w:after="0"/>
        <w:jc w:val="both"/>
        <w:rPr>
          <w:rFonts w:ascii="Times" w:hAnsi="Times" w:cs="Times New Roman"/>
          <w:bCs w:val="0"/>
          <w:sz w:val="24"/>
          <w:szCs w:val="24"/>
        </w:rPr>
      </w:pPr>
      <w:r w:rsidRPr="00D555AD">
        <w:rPr>
          <w:rFonts w:ascii="Times New Roman" w:hAnsi="Times New Roman" w:cs="Times New Roman"/>
          <w:bCs w:val="0"/>
          <w:sz w:val="24"/>
          <w:szCs w:val="24"/>
        </w:rPr>
        <w:t xml:space="preserve">The Individual Employment Plan or Individual Service Strategy is an ongoing document that must identify the participant’s employment goals, the appropriate achievement objectives, the combination of services required to achieve the employment goals, and the program of training selected to directly link the participant to the in-demand employment opportunities in the local area or in </w:t>
      </w:r>
      <w:r w:rsidRPr="00B16D34">
        <w:rPr>
          <w:rFonts w:ascii="Times New Roman" w:hAnsi="Times New Roman" w:cs="Times New Roman"/>
          <w:bCs w:val="0"/>
          <w:sz w:val="24"/>
          <w:szCs w:val="24"/>
        </w:rPr>
        <w:t>another area where the participant is willing to relocate. Outcomes must also be recorded in the IEP/ISS</w:t>
      </w:r>
      <w:r w:rsidRPr="00B16D34">
        <w:rPr>
          <w:rFonts w:ascii="Times" w:hAnsi="Times" w:cs="Times New Roman"/>
          <w:bCs w:val="0"/>
          <w:sz w:val="24"/>
          <w:szCs w:val="24"/>
        </w:rPr>
        <w:t>.</w:t>
      </w:r>
      <w:r w:rsidR="00847C44" w:rsidRPr="00B16D34">
        <w:rPr>
          <w:rFonts w:ascii="Times" w:hAnsi="Times" w:cs="Times New Roman"/>
          <w:bCs w:val="0"/>
          <w:sz w:val="24"/>
          <w:szCs w:val="24"/>
        </w:rPr>
        <w:t xml:space="preserve"> </w:t>
      </w:r>
      <w:r w:rsidR="009C5549" w:rsidRPr="00B16D34">
        <w:rPr>
          <w:rFonts w:ascii="Times" w:eastAsia="+mn-ea" w:hAnsi="Times" w:cs="Times New Roman"/>
          <w:color w:val="000000" w:themeColor="text1"/>
          <w:kern w:val="24"/>
          <w:sz w:val="24"/>
          <w:szCs w:val="24"/>
        </w:rPr>
        <w:t>For training j</w:t>
      </w:r>
      <w:r w:rsidRPr="00B16D34">
        <w:rPr>
          <w:rFonts w:ascii="Times" w:eastAsia="+mn-ea" w:hAnsi="Times" w:cs="Times New Roman"/>
          <w:color w:val="000000" w:themeColor="text1"/>
          <w:kern w:val="24"/>
          <w:sz w:val="24"/>
          <w:szCs w:val="24"/>
        </w:rPr>
        <w:t>ustification</w:t>
      </w:r>
      <w:r w:rsidR="009C5549" w:rsidRPr="00B16D34">
        <w:rPr>
          <w:rFonts w:ascii="Times" w:hAnsi="Times" w:cs="Times New Roman"/>
          <w:bCs w:val="0"/>
          <w:sz w:val="24"/>
          <w:szCs w:val="24"/>
        </w:rPr>
        <w:t xml:space="preserve"> t</w:t>
      </w:r>
      <w:r w:rsidRPr="00B16D34">
        <w:rPr>
          <w:rFonts w:ascii="Times" w:hAnsi="Times" w:cs="Times New Roman"/>
          <w:bCs w:val="0"/>
          <w:sz w:val="24"/>
          <w:szCs w:val="24"/>
        </w:rPr>
        <w:t>he case file must contain a determination of need for training services.</w:t>
      </w:r>
      <w:r w:rsidRPr="009C5549">
        <w:rPr>
          <w:rFonts w:ascii="Times" w:hAnsi="Times" w:cs="Times New Roman"/>
          <w:bCs w:val="0"/>
          <w:sz w:val="24"/>
          <w:szCs w:val="24"/>
        </w:rPr>
        <w:t xml:space="preserve"> </w:t>
      </w:r>
    </w:p>
    <w:p w:rsidR="0082622F" w:rsidRPr="005B3B52" w:rsidRDefault="0082622F" w:rsidP="0082622F">
      <w:pPr>
        <w:autoSpaceDE w:val="0"/>
        <w:autoSpaceDN w:val="0"/>
        <w:adjustRightInd w:val="0"/>
        <w:spacing w:after="0" w:line="240" w:lineRule="auto"/>
        <w:rPr>
          <w:rFonts w:cs="Times New Roman"/>
          <w:color w:val="000000"/>
          <w:sz w:val="24"/>
          <w:szCs w:val="24"/>
        </w:rPr>
      </w:pPr>
    </w:p>
    <w:p w:rsidR="0082622F" w:rsidRPr="00B13F81" w:rsidRDefault="0082622F" w:rsidP="0082622F">
      <w:pPr>
        <w:pStyle w:val="Style11"/>
        <w:spacing w:before="0" w:after="0"/>
        <w:jc w:val="both"/>
        <w:rPr>
          <w:rFonts w:ascii="Times New Roman" w:eastAsia="+mn-ea" w:hAnsi="Times New Roman" w:cs="Times New Roman"/>
          <w:b/>
          <w:color w:val="BB1F53"/>
          <w:kern w:val="24"/>
          <w:sz w:val="24"/>
          <w:szCs w:val="24"/>
        </w:rPr>
      </w:pPr>
      <w:r w:rsidRPr="00B13F81">
        <w:rPr>
          <w:rFonts w:ascii="Times New Roman" w:eastAsia="+mn-ea" w:hAnsi="Times New Roman" w:cs="Times New Roman"/>
          <w:b/>
          <w:color w:val="BB1F53"/>
          <w:kern w:val="24"/>
          <w:sz w:val="24"/>
          <w:szCs w:val="24"/>
        </w:rPr>
        <w:t xml:space="preserve">Consumer Choice </w:t>
      </w:r>
    </w:p>
    <w:p w:rsidR="00BC7F18" w:rsidRPr="00D555AD" w:rsidRDefault="00BC7F18" w:rsidP="00BC7F18">
      <w:pPr>
        <w:pStyle w:val="Default"/>
        <w:rPr>
          <w:rFonts w:ascii="Times New Roman" w:hAnsi="Times New Roman" w:cs="Times New Roman"/>
        </w:rPr>
      </w:pPr>
    </w:p>
    <w:p w:rsidR="00BC7F18" w:rsidRPr="00D555AD" w:rsidRDefault="00950202" w:rsidP="00950202">
      <w:pPr>
        <w:autoSpaceDE w:val="0"/>
        <w:autoSpaceDN w:val="0"/>
        <w:adjustRightInd w:val="0"/>
        <w:spacing w:after="0" w:line="240" w:lineRule="auto"/>
        <w:jc w:val="both"/>
        <w:rPr>
          <w:rFonts w:cs="Times New Roman"/>
          <w:sz w:val="24"/>
          <w:szCs w:val="24"/>
        </w:rPr>
      </w:pPr>
      <w:r w:rsidRPr="00D555AD">
        <w:rPr>
          <w:rFonts w:eastAsia="Times New Roman" w:cs="Times New Roman"/>
          <w:color w:val="000000"/>
          <w:sz w:val="24"/>
          <w:szCs w:val="24"/>
        </w:rPr>
        <w:t xml:space="preserve">Training services for eligible individuals are typically provided by training providers who receive payment for their services through </w:t>
      </w:r>
      <w:r w:rsidR="000D04C8" w:rsidRPr="00D555AD">
        <w:rPr>
          <w:rFonts w:eastAsia="Times New Roman" w:cs="Times New Roman"/>
          <w:color w:val="000000"/>
          <w:sz w:val="24"/>
          <w:szCs w:val="24"/>
        </w:rPr>
        <w:t xml:space="preserve">an </w:t>
      </w:r>
      <w:r w:rsidR="000D04C8" w:rsidRPr="008C571B">
        <w:rPr>
          <w:rFonts w:eastAsia="Times New Roman" w:cs="Times New Roman"/>
          <w:color w:val="000000"/>
          <w:sz w:val="24"/>
          <w:szCs w:val="24"/>
        </w:rPr>
        <w:t>ITA</w:t>
      </w:r>
      <w:r w:rsidRPr="008C571B">
        <w:rPr>
          <w:rFonts w:eastAsia="Times New Roman" w:cs="Times New Roman"/>
          <w:color w:val="000000"/>
          <w:sz w:val="24"/>
          <w:szCs w:val="24"/>
        </w:rPr>
        <w:t>.</w:t>
      </w:r>
      <w:r w:rsidRPr="00D555AD">
        <w:rPr>
          <w:rFonts w:eastAsia="Times New Roman" w:cs="Times New Roman"/>
          <w:color w:val="000000"/>
          <w:sz w:val="24"/>
          <w:szCs w:val="24"/>
        </w:rPr>
        <w:t xml:space="preserve"> </w:t>
      </w:r>
      <w:r w:rsidR="001D3520" w:rsidRPr="00D555AD">
        <w:rPr>
          <w:rFonts w:eastAsia="Times New Roman" w:cs="Times New Roman"/>
          <w:color w:val="000000"/>
          <w:sz w:val="24"/>
          <w:szCs w:val="24"/>
        </w:rPr>
        <w:t xml:space="preserve">The </w:t>
      </w:r>
      <w:r w:rsidR="00234311">
        <w:rPr>
          <w:rFonts w:cs="Times New Roman"/>
          <w:sz w:val="24"/>
          <w:szCs w:val="24"/>
        </w:rPr>
        <w:t>ITA</w:t>
      </w:r>
      <w:r w:rsidR="00BC7F18" w:rsidRPr="00D555AD">
        <w:rPr>
          <w:rFonts w:cs="Times New Roman"/>
          <w:sz w:val="24"/>
          <w:szCs w:val="24"/>
        </w:rPr>
        <w:t xml:space="preserve"> is a payment agreement established on behalf of a participant with a tr</w:t>
      </w:r>
      <w:r w:rsidR="00B94F97" w:rsidRPr="00D555AD">
        <w:rPr>
          <w:rFonts w:cs="Times New Roman"/>
          <w:sz w:val="24"/>
          <w:szCs w:val="24"/>
        </w:rPr>
        <w:t>aining provider</w:t>
      </w:r>
      <w:r w:rsidR="00143EAC" w:rsidRPr="00D555AD">
        <w:rPr>
          <w:rFonts w:cs="Times New Roman"/>
          <w:sz w:val="24"/>
          <w:szCs w:val="24"/>
        </w:rPr>
        <w:t xml:space="preserve">. </w:t>
      </w:r>
      <w:r w:rsidR="00BC7F18" w:rsidRPr="00D555AD">
        <w:rPr>
          <w:rFonts w:cs="Times New Roman"/>
          <w:sz w:val="24"/>
          <w:szCs w:val="24"/>
        </w:rPr>
        <w:t xml:space="preserve">Individuals may select training programs that cost more than the maximum allowed amount for an ITA, if they have other funding sources available to supplement the ITA. Other sources may include: Pell Grants, scholarships, loans, severance pay, </w:t>
      </w:r>
      <w:r w:rsidR="00922337" w:rsidRPr="00D555AD">
        <w:rPr>
          <w:rFonts w:eastAsia="Times New Roman" w:cs="Times New Roman"/>
          <w:sz w:val="24"/>
          <w:szCs w:val="24"/>
        </w:rPr>
        <w:t>Temporary Assistance for Needy Families (</w:t>
      </w:r>
      <w:r w:rsidR="00BC7F18" w:rsidRPr="00D555AD">
        <w:rPr>
          <w:rFonts w:cs="Times New Roman"/>
          <w:sz w:val="24"/>
          <w:szCs w:val="24"/>
        </w:rPr>
        <w:t>TANF</w:t>
      </w:r>
      <w:r w:rsidR="00922337" w:rsidRPr="00D555AD">
        <w:rPr>
          <w:rFonts w:cs="Times New Roman"/>
          <w:sz w:val="24"/>
          <w:szCs w:val="24"/>
        </w:rPr>
        <w:t>)</w:t>
      </w:r>
      <w:r w:rsidR="00BC7F18" w:rsidRPr="00D555AD">
        <w:rPr>
          <w:rFonts w:cs="Times New Roman"/>
          <w:sz w:val="24"/>
          <w:szCs w:val="24"/>
        </w:rPr>
        <w:t xml:space="preserve">, etc. </w:t>
      </w:r>
      <w:r w:rsidR="00123E96" w:rsidRPr="00D555AD">
        <w:rPr>
          <w:rFonts w:cs="Times New Roman"/>
          <w:sz w:val="24"/>
          <w:szCs w:val="24"/>
        </w:rPr>
        <w:t>Training services must be provided in a manner that max</w:t>
      </w:r>
      <w:r w:rsidR="00143EAC" w:rsidRPr="00D555AD">
        <w:rPr>
          <w:rFonts w:cs="Times New Roman"/>
          <w:sz w:val="24"/>
          <w:szCs w:val="24"/>
        </w:rPr>
        <w:t>imizes informed consumer choice.</w:t>
      </w:r>
      <w:r w:rsidR="00123E96" w:rsidRPr="00D555AD">
        <w:rPr>
          <w:rFonts w:cs="Times New Roman"/>
          <w:sz w:val="24"/>
          <w:szCs w:val="24"/>
        </w:rPr>
        <w:t xml:space="preserve"> </w:t>
      </w:r>
    </w:p>
    <w:p w:rsidR="000275A0" w:rsidRPr="00D555AD" w:rsidRDefault="000275A0" w:rsidP="00CD6610">
      <w:pPr>
        <w:spacing w:after="0" w:line="240" w:lineRule="auto"/>
        <w:jc w:val="both"/>
        <w:rPr>
          <w:rFonts w:cs="Times New Roman"/>
          <w:sz w:val="24"/>
          <w:szCs w:val="24"/>
        </w:rPr>
      </w:pPr>
    </w:p>
    <w:p w:rsidR="00042EC3" w:rsidRPr="00D555AD" w:rsidRDefault="00BC7F18" w:rsidP="000275A0">
      <w:pPr>
        <w:spacing w:after="0" w:line="240" w:lineRule="auto"/>
        <w:jc w:val="both"/>
        <w:rPr>
          <w:rFonts w:cs="Times New Roman"/>
          <w:color w:val="000000"/>
          <w:sz w:val="24"/>
          <w:szCs w:val="24"/>
        </w:rPr>
      </w:pPr>
      <w:r w:rsidRPr="00D555AD">
        <w:rPr>
          <w:rFonts w:cs="Times New Roman"/>
          <w:sz w:val="24"/>
          <w:szCs w:val="24"/>
        </w:rPr>
        <w:t>If an individual meets the eligibi</w:t>
      </w:r>
      <w:r w:rsidR="00143EAC" w:rsidRPr="00D555AD">
        <w:rPr>
          <w:rFonts w:cs="Times New Roman"/>
          <w:sz w:val="24"/>
          <w:szCs w:val="24"/>
        </w:rPr>
        <w:t>lity established above, they must</w:t>
      </w:r>
      <w:r w:rsidRPr="00D555AD">
        <w:rPr>
          <w:rFonts w:cs="Times New Roman"/>
          <w:sz w:val="24"/>
          <w:szCs w:val="24"/>
        </w:rPr>
        <w:t xml:space="preserve"> choose a provider from the Eligible Training Provider List (ETPL), a list of approved training providers that may recei</w:t>
      </w:r>
      <w:r w:rsidR="00401BDD" w:rsidRPr="00D555AD">
        <w:rPr>
          <w:rFonts w:cs="Times New Roman"/>
          <w:sz w:val="24"/>
          <w:szCs w:val="24"/>
        </w:rPr>
        <w:t>ve WIOA Title I funding</w:t>
      </w:r>
      <w:r w:rsidR="000275A0" w:rsidRPr="00D555AD">
        <w:rPr>
          <w:rFonts w:cs="Times New Roman"/>
          <w:sz w:val="24"/>
          <w:szCs w:val="24"/>
        </w:rPr>
        <w:t xml:space="preserve"> through an ITA. The approved list can be found at </w:t>
      </w:r>
      <w:hyperlink r:id="rId8" w:history="1">
        <w:r w:rsidR="000275A0" w:rsidRPr="00D555AD">
          <w:rPr>
            <w:rStyle w:val="Hyperlink"/>
            <w:rFonts w:cs="Times New Roman"/>
            <w:sz w:val="24"/>
            <w:szCs w:val="24"/>
            <w:lang w:val="en"/>
          </w:rPr>
          <w:t>NEworks.nebraska.gov</w:t>
        </w:r>
      </w:hyperlink>
      <w:r w:rsidR="000275A0" w:rsidRPr="00D555AD">
        <w:rPr>
          <w:rFonts w:cs="Times New Roman"/>
          <w:color w:val="000000"/>
          <w:sz w:val="24"/>
          <w:szCs w:val="24"/>
          <w:lang w:val="en"/>
        </w:rPr>
        <w:t xml:space="preserve"> under the Education Services menu, look for ETPL Approved Programs.</w:t>
      </w:r>
      <w:r w:rsidR="000275A0" w:rsidRPr="00D555AD">
        <w:rPr>
          <w:rFonts w:cs="Times New Roman"/>
          <w:color w:val="000000"/>
          <w:sz w:val="24"/>
          <w:szCs w:val="24"/>
        </w:rPr>
        <w:t xml:space="preserve"> The Nebraska Department of Labor (NDOL) publishes this list quarterly. Training providers that would like be included on the ETPL can learn more at </w:t>
      </w:r>
      <w:hyperlink r:id="rId9" w:history="1">
        <w:r w:rsidR="000275A0" w:rsidRPr="00D555AD">
          <w:rPr>
            <w:rStyle w:val="Hyperlink"/>
            <w:rFonts w:cs="Times New Roman"/>
            <w:sz w:val="24"/>
            <w:szCs w:val="24"/>
          </w:rPr>
          <w:t>dol.nebraska.gov</w:t>
        </w:r>
      </w:hyperlink>
      <w:r w:rsidR="000275A0" w:rsidRPr="00D555AD">
        <w:rPr>
          <w:rFonts w:cs="Times New Roman"/>
          <w:color w:val="000000"/>
          <w:sz w:val="24"/>
          <w:szCs w:val="24"/>
        </w:rPr>
        <w:t xml:space="preserve"> under Eligible Training Providers in the Workforce Innovation and Opportunity Act tab. </w:t>
      </w:r>
    </w:p>
    <w:p w:rsidR="00042EC3" w:rsidRPr="00D555AD" w:rsidRDefault="00042EC3" w:rsidP="000275A0">
      <w:pPr>
        <w:spacing w:after="0" w:line="240" w:lineRule="auto"/>
        <w:jc w:val="both"/>
        <w:rPr>
          <w:rFonts w:cs="Times New Roman"/>
          <w:color w:val="000000"/>
          <w:sz w:val="24"/>
          <w:szCs w:val="24"/>
        </w:rPr>
      </w:pPr>
    </w:p>
    <w:p w:rsidR="00042EC3" w:rsidRPr="005B3B52" w:rsidRDefault="000275A0" w:rsidP="000275A0">
      <w:pPr>
        <w:spacing w:after="0" w:line="240" w:lineRule="auto"/>
        <w:jc w:val="both"/>
        <w:rPr>
          <w:rFonts w:cs="Times New Roman"/>
          <w:color w:val="000000"/>
          <w:sz w:val="24"/>
          <w:szCs w:val="24"/>
        </w:rPr>
      </w:pPr>
      <w:r w:rsidRPr="00D555AD">
        <w:rPr>
          <w:rFonts w:cs="Times New Roman"/>
          <w:color w:val="000000"/>
          <w:sz w:val="24"/>
          <w:szCs w:val="24"/>
        </w:rPr>
        <w:t>If the program has not exhausted funds for the program</w:t>
      </w:r>
      <w:r w:rsidR="001D3520" w:rsidRPr="00D555AD">
        <w:rPr>
          <w:rFonts w:cs="Times New Roman"/>
          <w:color w:val="000000"/>
          <w:sz w:val="24"/>
          <w:szCs w:val="24"/>
        </w:rPr>
        <w:t xml:space="preserve"> year, the career pla</w:t>
      </w:r>
      <w:r w:rsidR="00234311">
        <w:rPr>
          <w:rFonts w:cs="Times New Roman"/>
          <w:color w:val="000000"/>
          <w:sz w:val="24"/>
          <w:szCs w:val="24"/>
        </w:rPr>
        <w:t>n</w:t>
      </w:r>
      <w:r w:rsidR="001D3520" w:rsidRPr="00D555AD">
        <w:rPr>
          <w:rFonts w:cs="Times New Roman"/>
          <w:color w:val="000000"/>
          <w:sz w:val="24"/>
          <w:szCs w:val="24"/>
        </w:rPr>
        <w:t>ner</w:t>
      </w:r>
      <w:r w:rsidRPr="00D555AD">
        <w:rPr>
          <w:rFonts w:cs="Times New Roman"/>
          <w:color w:val="000000"/>
          <w:sz w:val="24"/>
          <w:szCs w:val="24"/>
        </w:rPr>
        <w:t xml:space="preserve"> must refer the individual to the selected provider, and establish an ITA to pay for the training.</w:t>
      </w:r>
      <w:r w:rsidR="000C6D9D" w:rsidRPr="00D555AD">
        <w:rPr>
          <w:rFonts w:cs="Times New Roman"/>
          <w:color w:val="000000"/>
          <w:sz w:val="24"/>
          <w:szCs w:val="24"/>
        </w:rPr>
        <w:t xml:space="preserve"> </w:t>
      </w:r>
      <w:r w:rsidR="000D52AC" w:rsidRPr="00D555AD">
        <w:rPr>
          <w:rFonts w:cs="Times New Roman"/>
          <w:color w:val="000000"/>
          <w:sz w:val="24"/>
          <w:szCs w:val="24"/>
        </w:rPr>
        <w:t xml:space="preserve"> The ITA funds paid to the ETP are paid by the app</w:t>
      </w:r>
      <w:r w:rsidR="00BD71F9" w:rsidRPr="00D555AD">
        <w:rPr>
          <w:rFonts w:cs="Times New Roman"/>
          <w:color w:val="000000"/>
          <w:sz w:val="24"/>
          <w:szCs w:val="24"/>
        </w:rPr>
        <w:t>licable adult, dislocated worker</w:t>
      </w:r>
      <w:r w:rsidR="000D52AC" w:rsidRPr="00D555AD">
        <w:rPr>
          <w:rFonts w:cs="Times New Roman"/>
          <w:color w:val="000000"/>
          <w:sz w:val="24"/>
          <w:szCs w:val="24"/>
        </w:rPr>
        <w:t xml:space="preserve">, or out-of-school youth program the participant is enrolled or co-enrolled in. </w:t>
      </w:r>
      <w:r w:rsidR="00042EC3" w:rsidRPr="00D555AD">
        <w:rPr>
          <w:rFonts w:cs="Times New Roman"/>
          <w:color w:val="000000"/>
          <w:sz w:val="24"/>
          <w:szCs w:val="24"/>
        </w:rPr>
        <w:t>Priority consideration must be given to programs that lead to recognized postsecondary credentials that are</w:t>
      </w:r>
      <w:r w:rsidR="00042EC3" w:rsidRPr="005B3B52">
        <w:rPr>
          <w:rFonts w:cs="Times New Roman"/>
          <w:color w:val="000000"/>
          <w:sz w:val="24"/>
          <w:szCs w:val="24"/>
        </w:rPr>
        <w:t xml:space="preserve"> aligned with in-demand industry sectors or occupations in the local area. </w:t>
      </w:r>
    </w:p>
    <w:p w:rsidR="00042EC3" w:rsidRPr="005B3B52" w:rsidRDefault="00042EC3" w:rsidP="000275A0">
      <w:pPr>
        <w:spacing w:after="0" w:line="240" w:lineRule="auto"/>
        <w:jc w:val="both"/>
        <w:rPr>
          <w:rFonts w:cs="Times New Roman"/>
          <w:color w:val="000000"/>
          <w:sz w:val="24"/>
          <w:szCs w:val="24"/>
        </w:rPr>
      </w:pPr>
    </w:p>
    <w:p w:rsidR="000275A0" w:rsidRPr="005B3B52" w:rsidRDefault="000C6D9D" w:rsidP="000275A0">
      <w:pPr>
        <w:spacing w:after="0" w:line="240" w:lineRule="auto"/>
        <w:jc w:val="both"/>
        <w:rPr>
          <w:rFonts w:cs="Times New Roman"/>
          <w:sz w:val="24"/>
          <w:szCs w:val="24"/>
        </w:rPr>
      </w:pPr>
      <w:r w:rsidRPr="005B3B52">
        <w:rPr>
          <w:rFonts w:cs="Times New Roman"/>
          <w:color w:val="000000"/>
          <w:sz w:val="24"/>
          <w:szCs w:val="24"/>
        </w:rPr>
        <w:t xml:space="preserve">The WIOA Title I program is not an entitlement program.  Continued WIOA Title I funding is not guaranteed, rather based on availability of program funds. </w:t>
      </w:r>
    </w:p>
    <w:p w:rsidR="00022F04" w:rsidRPr="00B13F81" w:rsidRDefault="00022F04" w:rsidP="00D119EC">
      <w:pPr>
        <w:autoSpaceDE w:val="0"/>
        <w:autoSpaceDN w:val="0"/>
        <w:adjustRightInd w:val="0"/>
        <w:spacing w:after="0" w:line="240" w:lineRule="auto"/>
        <w:rPr>
          <w:rFonts w:eastAsia="Times New Roman" w:cs="Times New Roman"/>
          <w:color w:val="BB1F53"/>
          <w:sz w:val="24"/>
          <w:szCs w:val="24"/>
        </w:rPr>
      </w:pPr>
    </w:p>
    <w:p w:rsidR="00022F04" w:rsidRPr="00B13F81" w:rsidRDefault="005E482B" w:rsidP="00022F04">
      <w:pPr>
        <w:pStyle w:val="Style11"/>
        <w:spacing w:before="0" w:after="0"/>
        <w:rPr>
          <w:rFonts w:ascii="Times New Roman" w:eastAsia="+mn-ea" w:hAnsi="Times New Roman" w:cs="Times New Roman"/>
          <w:b/>
          <w:color w:val="BB1F53"/>
          <w:kern w:val="24"/>
          <w:sz w:val="24"/>
          <w:szCs w:val="24"/>
        </w:rPr>
      </w:pPr>
      <w:r w:rsidRPr="00B13F81">
        <w:rPr>
          <w:rFonts w:ascii="Times New Roman" w:eastAsia="+mn-ea" w:hAnsi="Times New Roman" w:cs="Times New Roman"/>
          <w:b/>
          <w:color w:val="BB1F53"/>
          <w:kern w:val="24"/>
          <w:sz w:val="24"/>
          <w:szCs w:val="24"/>
        </w:rPr>
        <w:t>Training Expenses</w:t>
      </w:r>
    </w:p>
    <w:p w:rsidR="005B3B52" w:rsidRPr="005B3B52" w:rsidRDefault="005B3B52" w:rsidP="00022F04">
      <w:pPr>
        <w:pStyle w:val="Style11"/>
        <w:spacing w:before="0" w:after="0"/>
        <w:rPr>
          <w:rFonts w:ascii="Times New Roman" w:eastAsia="+mn-ea" w:hAnsi="Times New Roman" w:cs="Times New Roman"/>
          <w:color w:val="00607F"/>
          <w:kern w:val="24"/>
          <w:sz w:val="24"/>
          <w:szCs w:val="24"/>
        </w:rPr>
      </w:pPr>
    </w:p>
    <w:p w:rsidR="00445104" w:rsidRPr="00D555AD" w:rsidRDefault="004924F6" w:rsidP="004924F6">
      <w:pPr>
        <w:spacing w:after="0" w:line="240" w:lineRule="auto"/>
        <w:rPr>
          <w:rFonts w:eastAsia="Times New Roman" w:cs="Times New Roman"/>
          <w:sz w:val="24"/>
          <w:szCs w:val="24"/>
        </w:rPr>
      </w:pPr>
      <w:r w:rsidRPr="00D555AD">
        <w:rPr>
          <w:rFonts w:eastAsia="Times New Roman" w:cs="Times New Roman"/>
          <w:sz w:val="24"/>
          <w:szCs w:val="24"/>
        </w:rPr>
        <w:t>WIOA funding for training is limited to participants who:</w:t>
      </w:r>
    </w:p>
    <w:p w:rsidR="004924F6" w:rsidRPr="00D555AD" w:rsidRDefault="004924F6" w:rsidP="004924F6">
      <w:pPr>
        <w:pStyle w:val="ListParagraph"/>
        <w:numPr>
          <w:ilvl w:val="0"/>
          <w:numId w:val="32"/>
        </w:numPr>
        <w:spacing w:after="0" w:line="240" w:lineRule="auto"/>
        <w:rPr>
          <w:rFonts w:eastAsia="Times New Roman" w:cs="Times New Roman"/>
          <w:sz w:val="24"/>
          <w:szCs w:val="24"/>
        </w:rPr>
      </w:pPr>
      <w:r w:rsidRPr="00D555AD">
        <w:rPr>
          <w:rFonts w:eastAsia="Times New Roman" w:cs="Times New Roman"/>
          <w:sz w:val="24"/>
          <w:szCs w:val="24"/>
        </w:rPr>
        <w:t>Are unable to obtain grant assistance from other sources to pay the costs of their training; or</w:t>
      </w:r>
    </w:p>
    <w:p w:rsidR="004924F6" w:rsidRDefault="00403E23" w:rsidP="004924F6">
      <w:pPr>
        <w:pStyle w:val="ListParagraph"/>
        <w:numPr>
          <w:ilvl w:val="0"/>
          <w:numId w:val="32"/>
        </w:numPr>
        <w:spacing w:after="0" w:line="240" w:lineRule="auto"/>
        <w:rPr>
          <w:rFonts w:eastAsia="Times New Roman" w:cs="Times New Roman"/>
          <w:sz w:val="24"/>
          <w:szCs w:val="24"/>
        </w:rPr>
      </w:pPr>
      <w:r w:rsidRPr="00D555AD">
        <w:rPr>
          <w:rFonts w:eastAsia="Times New Roman" w:cs="Times New Roman"/>
          <w:sz w:val="24"/>
          <w:szCs w:val="24"/>
        </w:rPr>
        <w:lastRenderedPageBreak/>
        <w:t>Require funding assistance beyond what was received from other grant sources t</w:t>
      </w:r>
      <w:r w:rsidR="00FC3B9F">
        <w:rPr>
          <w:rFonts w:eastAsia="Times New Roman" w:cs="Times New Roman"/>
          <w:sz w:val="24"/>
          <w:szCs w:val="24"/>
        </w:rPr>
        <w:t>o pay the cost of their education</w:t>
      </w:r>
      <w:r w:rsidRPr="00D555AD">
        <w:rPr>
          <w:rFonts w:eastAsia="Times New Roman" w:cs="Times New Roman"/>
          <w:sz w:val="24"/>
          <w:szCs w:val="24"/>
        </w:rPr>
        <w:t xml:space="preserve"> expenses.</w:t>
      </w:r>
      <w:r w:rsidR="00FC4C48" w:rsidRPr="00D555AD">
        <w:rPr>
          <w:rFonts w:eastAsia="Times New Roman" w:cs="Times New Roman"/>
          <w:sz w:val="24"/>
          <w:szCs w:val="24"/>
        </w:rPr>
        <w:t xml:space="preserve"> </w:t>
      </w:r>
    </w:p>
    <w:p w:rsidR="00FC3B9F" w:rsidRPr="00D555AD" w:rsidRDefault="00FC3B9F" w:rsidP="00FC3B9F">
      <w:pPr>
        <w:pStyle w:val="ListParagraph"/>
        <w:spacing w:after="0" w:line="240" w:lineRule="auto"/>
        <w:rPr>
          <w:rFonts w:eastAsia="Times New Roman" w:cs="Times New Roman"/>
          <w:sz w:val="24"/>
          <w:szCs w:val="24"/>
        </w:rPr>
      </w:pPr>
    </w:p>
    <w:p w:rsidR="005B3B52" w:rsidRDefault="005B3B52" w:rsidP="005B3B52">
      <w:pPr>
        <w:pStyle w:val="Style11"/>
        <w:spacing w:before="0" w:after="0"/>
        <w:jc w:val="both"/>
        <w:rPr>
          <w:rFonts w:ascii="Times New Roman" w:hAnsi="Times New Roman" w:cs="Times New Roman"/>
          <w:bCs w:val="0"/>
          <w:sz w:val="24"/>
          <w:szCs w:val="24"/>
        </w:rPr>
      </w:pPr>
      <w:r w:rsidRPr="00D555AD">
        <w:rPr>
          <w:rFonts w:ascii="Times New Roman" w:hAnsi="Times New Roman" w:cs="Times New Roman"/>
          <w:bCs w:val="0"/>
          <w:sz w:val="24"/>
          <w:szCs w:val="24"/>
        </w:rPr>
        <w:t>The ITA</w:t>
      </w:r>
      <w:r w:rsidR="00FC3B9F">
        <w:rPr>
          <w:rFonts w:ascii="Times New Roman" w:hAnsi="Times New Roman" w:cs="Times New Roman"/>
          <w:bCs w:val="0"/>
          <w:sz w:val="24"/>
          <w:szCs w:val="24"/>
        </w:rPr>
        <w:t xml:space="preserve"> may cover the costs </w:t>
      </w:r>
      <w:r w:rsidR="00FC3B9F" w:rsidRPr="00B16D34">
        <w:rPr>
          <w:rFonts w:ascii="Times New Roman" w:hAnsi="Times New Roman" w:cs="Times New Roman"/>
          <w:bCs w:val="0"/>
          <w:sz w:val="24"/>
          <w:szCs w:val="24"/>
        </w:rPr>
        <w:t xml:space="preserve">of </w:t>
      </w:r>
      <w:r w:rsidR="0087498C" w:rsidRPr="00B16D34">
        <w:rPr>
          <w:rFonts w:ascii="Times New Roman" w:hAnsi="Times New Roman" w:cs="Times New Roman"/>
          <w:bCs w:val="0"/>
          <w:sz w:val="24"/>
          <w:szCs w:val="24"/>
        </w:rPr>
        <w:t>training and education-related</w:t>
      </w:r>
      <w:r w:rsidRPr="00B16D34">
        <w:rPr>
          <w:rFonts w:ascii="Times New Roman" w:hAnsi="Times New Roman" w:cs="Times New Roman"/>
          <w:bCs w:val="0"/>
          <w:sz w:val="24"/>
          <w:szCs w:val="24"/>
        </w:rPr>
        <w:t xml:space="preserve"> expenses</w:t>
      </w:r>
      <w:r w:rsidRPr="00D555AD">
        <w:rPr>
          <w:rFonts w:ascii="Times New Roman" w:hAnsi="Times New Roman" w:cs="Times New Roman"/>
          <w:bCs w:val="0"/>
          <w:sz w:val="24"/>
          <w:szCs w:val="24"/>
        </w:rPr>
        <w:t xml:space="preserve">. </w:t>
      </w:r>
    </w:p>
    <w:p w:rsidR="00FC3B9F" w:rsidRDefault="00FC3B9F" w:rsidP="005B3B52">
      <w:pPr>
        <w:pStyle w:val="Style11"/>
        <w:spacing w:before="0" w:after="0"/>
        <w:jc w:val="both"/>
        <w:rPr>
          <w:rFonts w:ascii="Times New Roman" w:hAnsi="Times New Roman" w:cs="Times New Roman"/>
          <w:bCs w:val="0"/>
          <w:sz w:val="24"/>
          <w:szCs w:val="24"/>
        </w:rPr>
      </w:pPr>
    </w:p>
    <w:p w:rsidR="00FC3B9F" w:rsidRDefault="0087498C" w:rsidP="005B3B52">
      <w:pPr>
        <w:pStyle w:val="Style11"/>
        <w:spacing w:before="0" w:after="0"/>
        <w:jc w:val="both"/>
        <w:rPr>
          <w:rFonts w:ascii="Times New Roman" w:hAnsi="Times New Roman" w:cs="Times New Roman"/>
          <w:bCs w:val="0"/>
          <w:sz w:val="24"/>
          <w:szCs w:val="24"/>
        </w:rPr>
      </w:pPr>
      <w:r w:rsidRPr="00B16D34">
        <w:rPr>
          <w:rFonts w:ascii="Times New Roman" w:hAnsi="Times New Roman" w:cs="Times New Roman"/>
          <w:bCs w:val="0"/>
          <w:sz w:val="24"/>
          <w:szCs w:val="24"/>
        </w:rPr>
        <w:t>Training</w:t>
      </w:r>
      <w:r w:rsidR="00FC3B9F">
        <w:rPr>
          <w:rFonts w:ascii="Times New Roman" w:hAnsi="Times New Roman" w:cs="Times New Roman"/>
          <w:bCs w:val="0"/>
          <w:sz w:val="24"/>
          <w:szCs w:val="24"/>
        </w:rPr>
        <w:t xml:space="preserve"> expenses include tuition and fees. </w:t>
      </w:r>
      <w:r w:rsidR="00FC3B9F" w:rsidRPr="00D555AD">
        <w:rPr>
          <w:rFonts w:ascii="Times New Roman" w:hAnsi="Times New Roman" w:cs="Times New Roman"/>
          <w:bCs w:val="0"/>
          <w:sz w:val="24"/>
          <w:szCs w:val="24"/>
        </w:rPr>
        <w:t>Pell grants and other grant sources, with the exception of the GI Bill of VA funding per TEGL 19-16, need to be a</w:t>
      </w:r>
      <w:r w:rsidR="00FC3B9F">
        <w:rPr>
          <w:rFonts w:ascii="Times New Roman" w:hAnsi="Times New Roman" w:cs="Times New Roman"/>
          <w:bCs w:val="0"/>
          <w:sz w:val="24"/>
          <w:szCs w:val="24"/>
        </w:rPr>
        <w:t xml:space="preserve">pplied first </w:t>
      </w:r>
      <w:r w:rsidR="00FC3B9F" w:rsidRPr="00D555AD">
        <w:rPr>
          <w:rFonts w:ascii="Times New Roman" w:hAnsi="Times New Roman" w:cs="Times New Roman"/>
          <w:bCs w:val="0"/>
          <w:sz w:val="24"/>
          <w:szCs w:val="24"/>
        </w:rPr>
        <w:t>prior to the use of WIOA Title I funds.</w:t>
      </w:r>
    </w:p>
    <w:p w:rsidR="00FC3B9F" w:rsidRDefault="00FC3B9F" w:rsidP="005B3B52">
      <w:pPr>
        <w:pStyle w:val="Style11"/>
        <w:spacing w:before="0" w:after="0"/>
        <w:jc w:val="both"/>
        <w:rPr>
          <w:rFonts w:ascii="Times New Roman" w:hAnsi="Times New Roman" w:cs="Times New Roman"/>
          <w:bCs w:val="0"/>
          <w:sz w:val="24"/>
          <w:szCs w:val="24"/>
        </w:rPr>
      </w:pPr>
    </w:p>
    <w:p w:rsidR="00FC3B9F" w:rsidRPr="00D555AD" w:rsidRDefault="007B55CB" w:rsidP="005B3B52">
      <w:pPr>
        <w:pStyle w:val="Style11"/>
        <w:spacing w:before="0" w:after="0"/>
        <w:jc w:val="both"/>
        <w:rPr>
          <w:rFonts w:ascii="Times New Roman" w:hAnsi="Times New Roman" w:cs="Times New Roman"/>
          <w:bCs w:val="0"/>
          <w:sz w:val="24"/>
          <w:szCs w:val="24"/>
        </w:rPr>
      </w:pPr>
      <w:r>
        <w:rPr>
          <w:rFonts w:ascii="Times New Roman" w:hAnsi="Times New Roman" w:cs="Times New Roman"/>
          <w:bCs w:val="0"/>
          <w:sz w:val="24"/>
          <w:szCs w:val="24"/>
        </w:rPr>
        <w:t>Education-</w:t>
      </w:r>
      <w:r w:rsidR="00FC3B9F">
        <w:rPr>
          <w:rFonts w:ascii="Times New Roman" w:hAnsi="Times New Roman" w:cs="Times New Roman"/>
          <w:bCs w:val="0"/>
          <w:sz w:val="24"/>
          <w:szCs w:val="24"/>
        </w:rPr>
        <w:t xml:space="preserve">related expenses include books, supplies and other supportive services. There is no requirement to apply Pell or other funding sources first; WIOA can immediately pick up these costs within the parameters of the Supportive Service policy. </w:t>
      </w:r>
    </w:p>
    <w:p w:rsidR="005B3B52" w:rsidRPr="00D555AD" w:rsidRDefault="005B3B52" w:rsidP="005B3B52">
      <w:pPr>
        <w:spacing w:after="0" w:line="240" w:lineRule="auto"/>
        <w:rPr>
          <w:rFonts w:eastAsia="Times New Roman" w:cs="Times New Roman"/>
          <w:sz w:val="24"/>
          <w:szCs w:val="24"/>
        </w:rPr>
      </w:pPr>
    </w:p>
    <w:p w:rsidR="00FC4C48" w:rsidRPr="00D555AD" w:rsidRDefault="00003CFD" w:rsidP="00FC4C48">
      <w:pPr>
        <w:pStyle w:val="ListParagraph"/>
        <w:numPr>
          <w:ilvl w:val="1"/>
          <w:numId w:val="32"/>
        </w:numPr>
        <w:spacing w:after="0" w:line="240" w:lineRule="auto"/>
        <w:rPr>
          <w:rFonts w:eastAsia="Times New Roman" w:cs="Times New Roman"/>
          <w:sz w:val="24"/>
          <w:szCs w:val="24"/>
        </w:rPr>
      </w:pPr>
      <w:r w:rsidRPr="00D555AD">
        <w:rPr>
          <w:rFonts w:eastAsia="Times New Roman" w:cs="Times New Roman"/>
          <w:sz w:val="24"/>
          <w:szCs w:val="24"/>
        </w:rPr>
        <w:t xml:space="preserve">Career planners </w:t>
      </w:r>
      <w:r w:rsidR="00FC4C48" w:rsidRPr="00D555AD">
        <w:rPr>
          <w:rFonts w:eastAsia="Times New Roman" w:cs="Times New Roman"/>
          <w:sz w:val="24"/>
          <w:szCs w:val="24"/>
        </w:rPr>
        <w:t xml:space="preserve">may take into account the full cost of participating in training services, including the cost of supportive services and other appropriate costs. </w:t>
      </w:r>
    </w:p>
    <w:p w:rsidR="00403E23" w:rsidRPr="00D555AD" w:rsidRDefault="00003CFD" w:rsidP="00403E23">
      <w:pPr>
        <w:pStyle w:val="ListParagraph"/>
        <w:numPr>
          <w:ilvl w:val="1"/>
          <w:numId w:val="32"/>
        </w:numPr>
        <w:spacing w:after="0" w:line="240" w:lineRule="auto"/>
        <w:rPr>
          <w:rFonts w:eastAsia="Times New Roman" w:cs="Times New Roman"/>
          <w:sz w:val="24"/>
          <w:szCs w:val="24"/>
        </w:rPr>
      </w:pPr>
      <w:r w:rsidRPr="00D555AD">
        <w:rPr>
          <w:rFonts w:eastAsia="Times New Roman" w:cs="Times New Roman"/>
          <w:sz w:val="24"/>
          <w:szCs w:val="24"/>
        </w:rPr>
        <w:t xml:space="preserve">Career planners </w:t>
      </w:r>
      <w:r w:rsidR="00403E23" w:rsidRPr="00D555AD">
        <w:rPr>
          <w:rFonts w:eastAsia="Times New Roman" w:cs="Times New Roman"/>
          <w:sz w:val="24"/>
          <w:szCs w:val="24"/>
        </w:rPr>
        <w:t xml:space="preserve">must consider the availability of other sources or grants to pay for </w:t>
      </w:r>
      <w:r w:rsidR="00922337" w:rsidRPr="00D555AD">
        <w:rPr>
          <w:rFonts w:eastAsia="Times New Roman" w:cs="Times New Roman"/>
          <w:sz w:val="24"/>
          <w:szCs w:val="24"/>
        </w:rPr>
        <w:t>training costs such as TANF</w:t>
      </w:r>
      <w:r w:rsidR="00403E23" w:rsidRPr="00D555AD">
        <w:rPr>
          <w:rFonts w:eastAsia="Times New Roman" w:cs="Times New Roman"/>
          <w:sz w:val="24"/>
          <w:szCs w:val="24"/>
        </w:rPr>
        <w:t xml:space="preserve">, state-funded training funds, and Federal Pell Grants, so that WIOA funds supplement other funding sources. </w:t>
      </w:r>
    </w:p>
    <w:p w:rsidR="00403E23" w:rsidRPr="00D555AD" w:rsidRDefault="00403E23" w:rsidP="00403E23">
      <w:pPr>
        <w:pStyle w:val="ListParagraph"/>
        <w:numPr>
          <w:ilvl w:val="1"/>
          <w:numId w:val="32"/>
        </w:numPr>
        <w:spacing w:after="0" w:line="240" w:lineRule="auto"/>
        <w:rPr>
          <w:rFonts w:eastAsia="Times New Roman" w:cs="Times New Roman"/>
          <w:sz w:val="24"/>
          <w:szCs w:val="24"/>
        </w:rPr>
      </w:pPr>
      <w:r w:rsidRPr="00D555AD">
        <w:rPr>
          <w:rFonts w:eastAsia="Times New Roman" w:cs="Times New Roman"/>
          <w:sz w:val="24"/>
          <w:szCs w:val="24"/>
        </w:rPr>
        <w:t>A WIOA</w:t>
      </w:r>
      <w:r w:rsidR="00BD71F9" w:rsidRPr="00D555AD">
        <w:rPr>
          <w:rFonts w:eastAsia="Times New Roman" w:cs="Times New Roman"/>
          <w:sz w:val="24"/>
          <w:szCs w:val="24"/>
        </w:rPr>
        <w:t xml:space="preserve"> participant may enroll in WIOA</w:t>
      </w:r>
      <w:r w:rsidRPr="00D555AD">
        <w:rPr>
          <w:rFonts w:eastAsia="Times New Roman" w:cs="Times New Roman"/>
          <w:sz w:val="24"/>
          <w:szCs w:val="24"/>
        </w:rPr>
        <w:t xml:space="preserve"> funded training while his/her application for a Pell</w:t>
      </w:r>
      <w:r w:rsidR="000D04C8" w:rsidRPr="00D555AD">
        <w:rPr>
          <w:rFonts w:eastAsia="Times New Roman" w:cs="Times New Roman"/>
          <w:sz w:val="24"/>
          <w:szCs w:val="24"/>
        </w:rPr>
        <w:t xml:space="preserve"> Grant is pending.  The career p</w:t>
      </w:r>
      <w:r w:rsidRPr="00D555AD">
        <w:rPr>
          <w:rFonts w:eastAsia="Times New Roman" w:cs="Times New Roman"/>
          <w:sz w:val="24"/>
          <w:szCs w:val="24"/>
        </w:rPr>
        <w:t xml:space="preserve">lanner must make arrangements with the training provider and WIOA participant regarding allocation of the Pell Grant, if it is subsequently awarded. In that case, the training provider must reimburse the one-stop center the WIOA funds used to underwrite the training for the amount the Pell Grant covers. Reimbursement is not required from the portion of Pell Grant disbursed to the WIOA participant for education-related expenses. </w:t>
      </w:r>
    </w:p>
    <w:p w:rsidR="00E42B5B" w:rsidRPr="00D555AD" w:rsidRDefault="00E42B5B" w:rsidP="00E42B5B">
      <w:pPr>
        <w:spacing w:after="0" w:line="240" w:lineRule="auto"/>
        <w:rPr>
          <w:rFonts w:eastAsia="+mn-ea" w:cs="Times New Roman"/>
          <w:bCs/>
          <w:color w:val="00607F"/>
          <w:kern w:val="24"/>
          <w:sz w:val="24"/>
          <w:szCs w:val="24"/>
        </w:rPr>
      </w:pPr>
    </w:p>
    <w:p w:rsidR="00A62DE8" w:rsidRPr="00D555AD" w:rsidRDefault="0087498C" w:rsidP="00A62DE8">
      <w:pPr>
        <w:spacing w:after="0" w:line="240" w:lineRule="auto"/>
        <w:rPr>
          <w:rFonts w:cs="Times New Roman"/>
          <w:sz w:val="24"/>
          <w:szCs w:val="24"/>
        </w:rPr>
      </w:pPr>
      <w:r>
        <w:rPr>
          <w:rFonts w:cs="Times New Roman"/>
          <w:sz w:val="24"/>
          <w:szCs w:val="24"/>
        </w:rPr>
        <w:t xml:space="preserve"> </w:t>
      </w:r>
      <w:r w:rsidRPr="00B16D34">
        <w:rPr>
          <w:rFonts w:cs="Times New Roman"/>
          <w:sz w:val="24"/>
          <w:szCs w:val="24"/>
        </w:rPr>
        <w:t>ITAs can be</w:t>
      </w:r>
      <w:r w:rsidR="00A62DE8" w:rsidRPr="00D555AD">
        <w:rPr>
          <w:rFonts w:cs="Times New Roman"/>
          <w:sz w:val="24"/>
          <w:szCs w:val="24"/>
        </w:rPr>
        <w:t xml:space="preserve"> paid per semester</w:t>
      </w:r>
      <w:r w:rsidR="00B75FE0">
        <w:rPr>
          <w:rFonts w:cs="Times New Roman"/>
          <w:sz w:val="24"/>
          <w:szCs w:val="24"/>
        </w:rPr>
        <w:t>, quarter or</w:t>
      </w:r>
      <w:r w:rsidR="00234311">
        <w:rPr>
          <w:rFonts w:cs="Times New Roman"/>
          <w:sz w:val="24"/>
          <w:szCs w:val="24"/>
        </w:rPr>
        <w:t xml:space="preserve"> term</w:t>
      </w:r>
      <w:r w:rsidR="00A62DE8" w:rsidRPr="00D555AD">
        <w:rPr>
          <w:rFonts w:cs="Times New Roman"/>
          <w:sz w:val="24"/>
          <w:szCs w:val="24"/>
        </w:rPr>
        <w:t xml:space="preserve"> or once for a short-term training.</w:t>
      </w:r>
    </w:p>
    <w:p w:rsidR="00B44B60" w:rsidRPr="00D555AD" w:rsidRDefault="00B44B60" w:rsidP="004201F7">
      <w:pPr>
        <w:spacing w:after="0" w:line="240" w:lineRule="auto"/>
        <w:jc w:val="both"/>
        <w:rPr>
          <w:rFonts w:eastAsia="Times New Roman" w:cs="Times New Roman"/>
          <w:sz w:val="24"/>
          <w:szCs w:val="24"/>
        </w:rPr>
      </w:pPr>
    </w:p>
    <w:p w:rsidR="00685C25" w:rsidRPr="00B13F81" w:rsidRDefault="00685C25" w:rsidP="00685C25">
      <w:pPr>
        <w:spacing w:after="0" w:line="240" w:lineRule="auto"/>
        <w:rPr>
          <w:rFonts w:eastAsia="+mn-ea" w:cs="Times New Roman"/>
          <w:b/>
          <w:bCs/>
          <w:color w:val="BB1F53"/>
          <w:kern w:val="24"/>
          <w:sz w:val="24"/>
          <w:szCs w:val="24"/>
        </w:rPr>
      </w:pPr>
      <w:r w:rsidRPr="00B13F81">
        <w:rPr>
          <w:rFonts w:eastAsia="+mn-ea" w:cs="Times New Roman"/>
          <w:b/>
          <w:bCs/>
          <w:color w:val="BB1F53"/>
          <w:kern w:val="24"/>
          <w:sz w:val="24"/>
          <w:szCs w:val="24"/>
        </w:rPr>
        <w:t>Disclaimer</w:t>
      </w:r>
    </w:p>
    <w:p w:rsidR="00654DF4" w:rsidRPr="005B3B52" w:rsidRDefault="00654DF4" w:rsidP="00685C25">
      <w:pPr>
        <w:spacing w:after="0" w:line="240" w:lineRule="auto"/>
        <w:rPr>
          <w:rFonts w:eastAsia="+mn-ea" w:cs="Times New Roman"/>
          <w:b/>
          <w:bCs/>
          <w:color w:val="00607F"/>
          <w:kern w:val="24"/>
          <w:sz w:val="24"/>
          <w:szCs w:val="24"/>
          <w:u w:val="single"/>
        </w:rPr>
      </w:pPr>
    </w:p>
    <w:p w:rsidR="00685C25" w:rsidRPr="005B3B52" w:rsidRDefault="00685C25" w:rsidP="00685C25">
      <w:pPr>
        <w:spacing w:after="0" w:line="240" w:lineRule="auto"/>
        <w:jc w:val="both"/>
        <w:rPr>
          <w:rFonts w:eastAsia="Times New Roman" w:cs="Times New Roman"/>
          <w:sz w:val="24"/>
          <w:szCs w:val="24"/>
        </w:rPr>
      </w:pPr>
      <w:r w:rsidRPr="005B3B52">
        <w:rPr>
          <w:rFonts w:eastAsia="Times New Roman" w:cs="Times New Roman"/>
          <w:sz w:val="24"/>
          <w:szCs w:val="24"/>
        </w:rPr>
        <w:t>This policy is based on Greater Nebraska’s reading of the applicable statutes, regulations, rules and guidance released by the U.S. Government and the State of Nebraska.  This policy is subject to change as revised or additional statutes, regulations, rules and guidance are issued.</w:t>
      </w:r>
    </w:p>
    <w:p w:rsidR="00EA508E" w:rsidRPr="005B3B52" w:rsidRDefault="00EA508E">
      <w:pPr>
        <w:rPr>
          <w:rFonts w:cs="Times New Roman"/>
          <w:sz w:val="24"/>
          <w:szCs w:val="24"/>
        </w:rPr>
      </w:pPr>
    </w:p>
    <w:sectPr w:rsidR="00EA508E" w:rsidRPr="005B3B5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A2C" w:rsidRDefault="000F2A2C" w:rsidP="00E54BD1">
      <w:pPr>
        <w:spacing w:after="0" w:line="240" w:lineRule="auto"/>
      </w:pPr>
      <w:r>
        <w:separator/>
      </w:r>
    </w:p>
  </w:endnote>
  <w:endnote w:type="continuationSeparator" w:id="0">
    <w:p w:rsidR="000F2A2C" w:rsidRDefault="000F2A2C" w:rsidP="00E54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Bold">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Times">
    <w:panose1 w:val="020206030504050203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650107"/>
      <w:docPartObj>
        <w:docPartGallery w:val="Page Numbers (Bottom of Page)"/>
        <w:docPartUnique/>
      </w:docPartObj>
    </w:sdtPr>
    <w:sdtEndPr/>
    <w:sdtContent>
      <w:sdt>
        <w:sdtPr>
          <w:id w:val="-1769616900"/>
          <w:docPartObj>
            <w:docPartGallery w:val="Page Numbers (Top of Page)"/>
            <w:docPartUnique/>
          </w:docPartObj>
        </w:sdtPr>
        <w:sdtEndPr/>
        <w:sdtContent>
          <w:p w:rsidR="009D2F91" w:rsidRDefault="009D2F91">
            <w:pPr>
              <w:pStyle w:val="Footer"/>
              <w:jc w:val="right"/>
            </w:pPr>
            <w:r w:rsidRPr="009D2F91">
              <w:rPr>
                <w:sz w:val="20"/>
                <w:szCs w:val="20"/>
              </w:rPr>
              <w:t xml:space="preserve">Page </w:t>
            </w:r>
            <w:r w:rsidRPr="009D2F91">
              <w:rPr>
                <w:b/>
                <w:bCs/>
                <w:sz w:val="20"/>
                <w:szCs w:val="20"/>
              </w:rPr>
              <w:fldChar w:fldCharType="begin"/>
            </w:r>
            <w:r w:rsidRPr="009D2F91">
              <w:rPr>
                <w:b/>
                <w:bCs/>
                <w:sz w:val="20"/>
                <w:szCs w:val="20"/>
              </w:rPr>
              <w:instrText xml:space="preserve"> PAGE </w:instrText>
            </w:r>
            <w:r w:rsidRPr="009D2F91">
              <w:rPr>
                <w:b/>
                <w:bCs/>
                <w:sz w:val="20"/>
                <w:szCs w:val="20"/>
              </w:rPr>
              <w:fldChar w:fldCharType="separate"/>
            </w:r>
            <w:r w:rsidR="0062283B">
              <w:rPr>
                <w:b/>
                <w:bCs/>
                <w:noProof/>
                <w:sz w:val="20"/>
                <w:szCs w:val="20"/>
              </w:rPr>
              <w:t>1</w:t>
            </w:r>
            <w:r w:rsidRPr="009D2F91">
              <w:rPr>
                <w:b/>
                <w:bCs/>
                <w:sz w:val="20"/>
                <w:szCs w:val="20"/>
              </w:rPr>
              <w:fldChar w:fldCharType="end"/>
            </w:r>
            <w:r w:rsidRPr="009D2F91">
              <w:rPr>
                <w:sz w:val="20"/>
                <w:szCs w:val="20"/>
              </w:rPr>
              <w:t xml:space="preserve"> of </w:t>
            </w:r>
            <w:r w:rsidRPr="009D2F91">
              <w:rPr>
                <w:b/>
                <w:bCs/>
                <w:sz w:val="20"/>
                <w:szCs w:val="20"/>
              </w:rPr>
              <w:fldChar w:fldCharType="begin"/>
            </w:r>
            <w:r w:rsidRPr="009D2F91">
              <w:rPr>
                <w:b/>
                <w:bCs/>
                <w:sz w:val="20"/>
                <w:szCs w:val="20"/>
              </w:rPr>
              <w:instrText xml:space="preserve"> NUMPAGES  </w:instrText>
            </w:r>
            <w:r w:rsidRPr="009D2F91">
              <w:rPr>
                <w:b/>
                <w:bCs/>
                <w:sz w:val="20"/>
                <w:szCs w:val="20"/>
              </w:rPr>
              <w:fldChar w:fldCharType="separate"/>
            </w:r>
            <w:r w:rsidR="0062283B">
              <w:rPr>
                <w:b/>
                <w:bCs/>
                <w:noProof/>
                <w:sz w:val="20"/>
                <w:szCs w:val="20"/>
              </w:rPr>
              <w:t>3</w:t>
            </w:r>
            <w:r w:rsidRPr="009D2F91">
              <w:rPr>
                <w:b/>
                <w:bCs/>
                <w:sz w:val="20"/>
                <w:szCs w:val="20"/>
              </w:rPr>
              <w:fldChar w:fldCharType="end"/>
            </w:r>
          </w:p>
        </w:sdtContent>
      </w:sdt>
    </w:sdtContent>
  </w:sdt>
  <w:p w:rsidR="009D2F91" w:rsidRDefault="00657831">
    <w:pPr>
      <w:pStyle w:val="Footer"/>
    </w:pPr>
    <w:r>
      <w:rPr>
        <w:noProof/>
        <w:color w:val="1F497D"/>
      </w:rPr>
      <w:drawing>
        <wp:anchor distT="0" distB="0" distL="114300" distR="114300" simplePos="0" relativeHeight="251661312" behindDoc="1" locked="0" layoutInCell="1" allowOverlap="1" wp14:anchorId="3300BF7E" wp14:editId="3EBF146C">
          <wp:simplePos x="0" y="0"/>
          <wp:positionH relativeFrom="margin">
            <wp:posOffset>0</wp:posOffset>
          </wp:positionH>
          <wp:positionV relativeFrom="paragraph">
            <wp:posOffset>0</wp:posOffset>
          </wp:positionV>
          <wp:extent cx="3724275" cy="228600"/>
          <wp:effectExtent l="0" t="0" r="9525" b="0"/>
          <wp:wrapNone/>
          <wp:docPr id="3" name="Picture 3" descr="AJC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JC Taglin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724275" cy="2286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A2C" w:rsidRDefault="000F2A2C" w:rsidP="00E54BD1">
      <w:pPr>
        <w:spacing w:after="0" w:line="240" w:lineRule="auto"/>
      </w:pPr>
      <w:r>
        <w:separator/>
      </w:r>
    </w:p>
  </w:footnote>
  <w:footnote w:type="continuationSeparator" w:id="0">
    <w:p w:rsidR="000F2A2C" w:rsidRDefault="000F2A2C" w:rsidP="00E54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BD1" w:rsidRDefault="00E81451">
    <w:pPr>
      <w:pStyle w:val="Header"/>
    </w:pPr>
    <w:r w:rsidRPr="00864E12">
      <w:rPr>
        <w:rFonts w:ascii="Arial" w:hAnsi="Arial" w:cs="Arial"/>
        <w:noProof/>
        <w:sz w:val="24"/>
      </w:rPr>
      <w:drawing>
        <wp:anchor distT="0" distB="0" distL="114300" distR="114300" simplePos="0" relativeHeight="251659264" behindDoc="1" locked="0" layoutInCell="1" allowOverlap="1" wp14:anchorId="38204B45" wp14:editId="480548BD">
          <wp:simplePos x="0" y="0"/>
          <wp:positionH relativeFrom="margin">
            <wp:align>center</wp:align>
          </wp:positionH>
          <wp:positionV relativeFrom="paragraph">
            <wp:posOffset>-457200</wp:posOffset>
          </wp:positionV>
          <wp:extent cx="5319227" cy="1276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mployment and Training\WIA Greater Nebraska\Letterhead\Greater Nebraska WDB 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319227" cy="1276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54BD1" w:rsidRPr="00E54BD1" w:rsidRDefault="00E54BD1" w:rsidP="00E54BD1">
    <w:pPr>
      <w:pStyle w:val="Header"/>
      <w:ind w:right="-18"/>
      <w:rPr>
        <w:rFonts w:cs="Arial"/>
        <w:b/>
      </w:rPr>
    </w:pPr>
    <w:r w:rsidRPr="00E54BD1">
      <w:rPr>
        <w:rFonts w:cs="Arial"/>
        <w:b/>
      </w:rPr>
      <w:tab/>
      <w:t xml:space="preserve">                                       </w:t>
    </w:r>
  </w:p>
  <w:p w:rsidR="00E81451" w:rsidRPr="0051088F" w:rsidRDefault="00E81451" w:rsidP="00E81451">
    <w:pPr>
      <w:pStyle w:val="Header"/>
      <w:jc w:val="right"/>
      <w:rPr>
        <w:rFonts w:ascii="Arial" w:hAnsi="Arial" w:cs="Arial"/>
        <w:b/>
        <w:sz w:val="14"/>
        <w:szCs w:val="14"/>
      </w:rPr>
    </w:pPr>
    <w:r w:rsidRPr="0051088F">
      <w:rPr>
        <w:rFonts w:ascii="Arial" w:hAnsi="Arial" w:cs="Arial"/>
        <w:b/>
        <w:sz w:val="14"/>
        <w:szCs w:val="14"/>
      </w:rPr>
      <w:t>Lisa Wilson</w:t>
    </w:r>
    <w:r w:rsidRPr="0051088F">
      <w:rPr>
        <w:rFonts w:ascii="Arial" w:hAnsi="Arial" w:cs="Arial"/>
        <w:b/>
        <w:sz w:val="14"/>
        <w:szCs w:val="14"/>
      </w:rPr>
      <w:tab/>
    </w:r>
    <w:r w:rsidRPr="0051088F">
      <w:rPr>
        <w:rFonts w:ascii="Arial" w:hAnsi="Arial" w:cs="Arial"/>
        <w:b/>
        <w:sz w:val="14"/>
        <w:szCs w:val="14"/>
      </w:rPr>
      <w:tab/>
    </w:r>
    <w:r w:rsidRPr="0051088F">
      <w:rPr>
        <w:rFonts w:ascii="Arial" w:hAnsi="Arial" w:cs="Arial"/>
        <w:sz w:val="14"/>
        <w:szCs w:val="14"/>
      </w:rPr>
      <w:t xml:space="preserve">  </w:t>
    </w:r>
    <w:r w:rsidRPr="0051088F">
      <w:rPr>
        <w:rFonts w:ascii="Arial" w:hAnsi="Arial" w:cs="Arial"/>
        <w:b/>
        <w:sz w:val="14"/>
        <w:szCs w:val="14"/>
      </w:rPr>
      <w:t xml:space="preserve">  Pamela Lancaster                                                                                                                                     Chair </w:t>
    </w:r>
    <w:r w:rsidRPr="0051088F">
      <w:rPr>
        <w:rFonts w:ascii="Arial" w:hAnsi="Arial" w:cs="Arial"/>
        <w:b/>
        <w:sz w:val="14"/>
        <w:szCs w:val="14"/>
      </w:rPr>
      <w:tab/>
    </w:r>
    <w:r w:rsidRPr="0051088F">
      <w:rPr>
        <w:rFonts w:ascii="Arial" w:hAnsi="Arial" w:cs="Arial"/>
        <w:b/>
        <w:sz w:val="14"/>
        <w:szCs w:val="14"/>
      </w:rPr>
      <w:tab/>
      <w:t>CEOB Chair</w:t>
    </w:r>
    <w:r w:rsidRPr="0051088F">
      <w:rPr>
        <w:rFonts w:ascii="Arial" w:hAnsi="Arial" w:cs="Arial"/>
        <w:sz w:val="14"/>
        <w:szCs w:val="14"/>
      </w:rPr>
      <w:t xml:space="preserve"> </w:t>
    </w:r>
  </w:p>
  <w:p w:rsidR="00685C25" w:rsidRDefault="00685C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7D3D"/>
    <w:multiLevelType w:val="hybridMultilevel"/>
    <w:tmpl w:val="A238B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32D32"/>
    <w:multiLevelType w:val="hybridMultilevel"/>
    <w:tmpl w:val="799CEC4C"/>
    <w:lvl w:ilvl="0" w:tplc="4F084DA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F25E0"/>
    <w:multiLevelType w:val="hybridMultilevel"/>
    <w:tmpl w:val="3F46C164"/>
    <w:lvl w:ilvl="0" w:tplc="4DE00CA4">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448DC"/>
    <w:multiLevelType w:val="hybridMultilevel"/>
    <w:tmpl w:val="AFB66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B36B9"/>
    <w:multiLevelType w:val="hybridMultilevel"/>
    <w:tmpl w:val="0CB02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032C04"/>
    <w:multiLevelType w:val="hybridMultilevel"/>
    <w:tmpl w:val="D84C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F48E7"/>
    <w:multiLevelType w:val="hybridMultilevel"/>
    <w:tmpl w:val="2B74890C"/>
    <w:lvl w:ilvl="0" w:tplc="08A610C8">
      <w:start w:val="1"/>
      <w:numFmt w:val="lowerRoman"/>
      <w:lvlText w:val="%1."/>
      <w:lvlJc w:val="left"/>
      <w:pPr>
        <w:ind w:left="1800" w:hanging="72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252A18"/>
    <w:multiLevelType w:val="hybridMultilevel"/>
    <w:tmpl w:val="0E30B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5517CA"/>
    <w:multiLevelType w:val="hybridMultilevel"/>
    <w:tmpl w:val="2CCCF2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50F71"/>
    <w:multiLevelType w:val="hybridMultilevel"/>
    <w:tmpl w:val="0B5E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227D4"/>
    <w:multiLevelType w:val="hybridMultilevel"/>
    <w:tmpl w:val="47E0D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C53825"/>
    <w:multiLevelType w:val="hybridMultilevel"/>
    <w:tmpl w:val="65E2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F107B0"/>
    <w:multiLevelType w:val="hybridMultilevel"/>
    <w:tmpl w:val="43E05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FD3825"/>
    <w:multiLevelType w:val="hybridMultilevel"/>
    <w:tmpl w:val="5C56E4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653551"/>
    <w:multiLevelType w:val="hybridMultilevel"/>
    <w:tmpl w:val="2A2E7BEC"/>
    <w:lvl w:ilvl="0" w:tplc="04090017">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3A2141"/>
    <w:multiLevelType w:val="hybridMultilevel"/>
    <w:tmpl w:val="B4D620F2"/>
    <w:lvl w:ilvl="0" w:tplc="707243F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0E1B64"/>
    <w:multiLevelType w:val="hybridMultilevel"/>
    <w:tmpl w:val="4CCCB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9F311B"/>
    <w:multiLevelType w:val="hybridMultilevel"/>
    <w:tmpl w:val="CF6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5C0C38"/>
    <w:multiLevelType w:val="hybridMultilevel"/>
    <w:tmpl w:val="0A8C1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062D05"/>
    <w:multiLevelType w:val="hybridMultilevel"/>
    <w:tmpl w:val="3DCE767A"/>
    <w:lvl w:ilvl="0" w:tplc="80748394">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81180E"/>
    <w:multiLevelType w:val="hybridMultilevel"/>
    <w:tmpl w:val="32B2489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CB72E55"/>
    <w:multiLevelType w:val="hybridMultilevel"/>
    <w:tmpl w:val="73DE9170"/>
    <w:lvl w:ilvl="0" w:tplc="231647A8">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BA5FBA"/>
    <w:multiLevelType w:val="hybridMultilevel"/>
    <w:tmpl w:val="DA464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ECF69CA"/>
    <w:multiLevelType w:val="hybridMultilevel"/>
    <w:tmpl w:val="84982C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65F0A31"/>
    <w:multiLevelType w:val="hybridMultilevel"/>
    <w:tmpl w:val="16F2867C"/>
    <w:lvl w:ilvl="0" w:tplc="A6689164">
      <w:start w:val="1"/>
      <w:numFmt w:val="lowerRoman"/>
      <w:lvlText w:val="%1."/>
      <w:lvlJc w:val="left"/>
      <w:pPr>
        <w:ind w:left="1800" w:hanging="72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79B6AAB"/>
    <w:multiLevelType w:val="hybridMultilevel"/>
    <w:tmpl w:val="B0A2E5EE"/>
    <w:lvl w:ilvl="0" w:tplc="D3A274DC">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D4714D2"/>
    <w:multiLevelType w:val="hybridMultilevel"/>
    <w:tmpl w:val="EB664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E932A4"/>
    <w:multiLevelType w:val="hybridMultilevel"/>
    <w:tmpl w:val="DF566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9E0540"/>
    <w:multiLevelType w:val="hybridMultilevel"/>
    <w:tmpl w:val="6E567CE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B04F40"/>
    <w:multiLevelType w:val="hybridMultilevel"/>
    <w:tmpl w:val="3246E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66551E"/>
    <w:multiLevelType w:val="hybridMultilevel"/>
    <w:tmpl w:val="8FEE0E14"/>
    <w:lvl w:ilvl="0" w:tplc="74C63DC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133A2A"/>
    <w:multiLevelType w:val="hybridMultilevel"/>
    <w:tmpl w:val="5A5CCF3A"/>
    <w:lvl w:ilvl="0" w:tplc="A05C7928">
      <w:start w:val="1"/>
      <w:numFmt w:val="decimal"/>
      <w:lvlText w:val="%1."/>
      <w:lvlJc w:val="left"/>
      <w:pPr>
        <w:ind w:left="360" w:hanging="360"/>
      </w:pPr>
      <w:rPr>
        <w:rFonts w:hint="default"/>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16701F"/>
    <w:multiLevelType w:val="hybridMultilevel"/>
    <w:tmpl w:val="29F853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AED2CD5"/>
    <w:multiLevelType w:val="hybridMultilevel"/>
    <w:tmpl w:val="38A44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054863"/>
    <w:multiLevelType w:val="hybridMultilevel"/>
    <w:tmpl w:val="6A42EACE"/>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num w:numId="1">
    <w:abstractNumId w:val="13"/>
  </w:num>
  <w:num w:numId="2">
    <w:abstractNumId w:val="30"/>
  </w:num>
  <w:num w:numId="3">
    <w:abstractNumId w:val="27"/>
  </w:num>
  <w:num w:numId="4">
    <w:abstractNumId w:val="15"/>
  </w:num>
  <w:num w:numId="5">
    <w:abstractNumId w:val="18"/>
  </w:num>
  <w:num w:numId="6">
    <w:abstractNumId w:val="3"/>
  </w:num>
  <w:num w:numId="7">
    <w:abstractNumId w:val="19"/>
  </w:num>
  <w:num w:numId="8">
    <w:abstractNumId w:val="34"/>
  </w:num>
  <w:num w:numId="9">
    <w:abstractNumId w:val="17"/>
  </w:num>
  <w:num w:numId="10">
    <w:abstractNumId w:val="5"/>
  </w:num>
  <w:num w:numId="11">
    <w:abstractNumId w:val="0"/>
  </w:num>
  <w:num w:numId="12">
    <w:abstractNumId w:val="9"/>
  </w:num>
  <w:num w:numId="13">
    <w:abstractNumId w:val="26"/>
  </w:num>
  <w:num w:numId="14">
    <w:abstractNumId w:val="22"/>
  </w:num>
  <w:num w:numId="15">
    <w:abstractNumId w:val="29"/>
  </w:num>
  <w:num w:numId="16">
    <w:abstractNumId w:val="8"/>
  </w:num>
  <w:num w:numId="17">
    <w:abstractNumId w:val="10"/>
  </w:num>
  <w:num w:numId="18">
    <w:abstractNumId w:val="4"/>
  </w:num>
  <w:num w:numId="19">
    <w:abstractNumId w:val="32"/>
  </w:num>
  <w:num w:numId="20">
    <w:abstractNumId w:val="7"/>
  </w:num>
  <w:num w:numId="21">
    <w:abstractNumId w:val="23"/>
  </w:num>
  <w:num w:numId="22">
    <w:abstractNumId w:val="20"/>
  </w:num>
  <w:num w:numId="23">
    <w:abstractNumId w:val="14"/>
  </w:num>
  <w:num w:numId="24">
    <w:abstractNumId w:val="31"/>
  </w:num>
  <w:num w:numId="25">
    <w:abstractNumId w:val="25"/>
  </w:num>
  <w:num w:numId="26">
    <w:abstractNumId w:val="1"/>
  </w:num>
  <w:num w:numId="27">
    <w:abstractNumId w:val="2"/>
  </w:num>
  <w:num w:numId="28">
    <w:abstractNumId w:val="21"/>
  </w:num>
  <w:num w:numId="29">
    <w:abstractNumId w:val="6"/>
  </w:num>
  <w:num w:numId="30">
    <w:abstractNumId w:val="24"/>
  </w:num>
  <w:num w:numId="31">
    <w:abstractNumId w:val="16"/>
  </w:num>
  <w:num w:numId="32">
    <w:abstractNumId w:val="28"/>
  </w:num>
  <w:num w:numId="33">
    <w:abstractNumId w:val="33"/>
  </w:num>
  <w:num w:numId="34">
    <w:abstractNumId w:val="11"/>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BD1"/>
    <w:rsid w:val="00003CFD"/>
    <w:rsid w:val="00022F04"/>
    <w:rsid w:val="000260C6"/>
    <w:rsid w:val="000275A0"/>
    <w:rsid w:val="00042EC3"/>
    <w:rsid w:val="00045ECF"/>
    <w:rsid w:val="000969A3"/>
    <w:rsid w:val="000C4C60"/>
    <w:rsid w:val="000C6D9D"/>
    <w:rsid w:val="000D04C8"/>
    <w:rsid w:val="000D52AC"/>
    <w:rsid w:val="000F2A2C"/>
    <w:rsid w:val="001071AC"/>
    <w:rsid w:val="001215D7"/>
    <w:rsid w:val="00123E96"/>
    <w:rsid w:val="00131C86"/>
    <w:rsid w:val="00143EAC"/>
    <w:rsid w:val="001511F9"/>
    <w:rsid w:val="00163DD9"/>
    <w:rsid w:val="001657D1"/>
    <w:rsid w:val="00174B23"/>
    <w:rsid w:val="001812AD"/>
    <w:rsid w:val="00183C71"/>
    <w:rsid w:val="0018509E"/>
    <w:rsid w:val="001A6CBC"/>
    <w:rsid w:val="001D1593"/>
    <w:rsid w:val="001D3520"/>
    <w:rsid w:val="001D3870"/>
    <w:rsid w:val="002118AE"/>
    <w:rsid w:val="002220B2"/>
    <w:rsid w:val="00234311"/>
    <w:rsid w:val="00237419"/>
    <w:rsid w:val="00271DC0"/>
    <w:rsid w:val="00295D98"/>
    <w:rsid w:val="002E0DC3"/>
    <w:rsid w:val="003226CB"/>
    <w:rsid w:val="0033787D"/>
    <w:rsid w:val="003524CC"/>
    <w:rsid w:val="0039572C"/>
    <w:rsid w:val="003B7519"/>
    <w:rsid w:val="003C7F56"/>
    <w:rsid w:val="003D630C"/>
    <w:rsid w:val="00401BDD"/>
    <w:rsid w:val="00403E23"/>
    <w:rsid w:val="00407FFC"/>
    <w:rsid w:val="00414652"/>
    <w:rsid w:val="004201F7"/>
    <w:rsid w:val="00432EA0"/>
    <w:rsid w:val="004340F2"/>
    <w:rsid w:val="00445104"/>
    <w:rsid w:val="00483896"/>
    <w:rsid w:val="004924F6"/>
    <w:rsid w:val="004A17AF"/>
    <w:rsid w:val="004C3629"/>
    <w:rsid w:val="004E704B"/>
    <w:rsid w:val="00507A57"/>
    <w:rsid w:val="005B075B"/>
    <w:rsid w:val="005B0793"/>
    <w:rsid w:val="005B3B52"/>
    <w:rsid w:val="005E482B"/>
    <w:rsid w:val="005F0C16"/>
    <w:rsid w:val="005F379F"/>
    <w:rsid w:val="00616B4D"/>
    <w:rsid w:val="0062283B"/>
    <w:rsid w:val="00637BCF"/>
    <w:rsid w:val="00654DF4"/>
    <w:rsid w:val="00657831"/>
    <w:rsid w:val="00673781"/>
    <w:rsid w:val="00674612"/>
    <w:rsid w:val="00685C25"/>
    <w:rsid w:val="006A58B1"/>
    <w:rsid w:val="006C3F79"/>
    <w:rsid w:val="006C784E"/>
    <w:rsid w:val="006E692B"/>
    <w:rsid w:val="006F2509"/>
    <w:rsid w:val="00735649"/>
    <w:rsid w:val="0073736B"/>
    <w:rsid w:val="00750CEC"/>
    <w:rsid w:val="007634C3"/>
    <w:rsid w:val="00765B53"/>
    <w:rsid w:val="007737BB"/>
    <w:rsid w:val="007746C0"/>
    <w:rsid w:val="00793945"/>
    <w:rsid w:val="00795D88"/>
    <w:rsid w:val="007A6585"/>
    <w:rsid w:val="007B3CD3"/>
    <w:rsid w:val="007B55CB"/>
    <w:rsid w:val="007D6F57"/>
    <w:rsid w:val="007E1897"/>
    <w:rsid w:val="0080664C"/>
    <w:rsid w:val="0082622F"/>
    <w:rsid w:val="00847C44"/>
    <w:rsid w:val="00865F3E"/>
    <w:rsid w:val="008747BA"/>
    <w:rsid w:val="0087498C"/>
    <w:rsid w:val="008842CF"/>
    <w:rsid w:val="008C571B"/>
    <w:rsid w:val="008F7CD4"/>
    <w:rsid w:val="00922337"/>
    <w:rsid w:val="009231B2"/>
    <w:rsid w:val="00950202"/>
    <w:rsid w:val="0098020E"/>
    <w:rsid w:val="009C5549"/>
    <w:rsid w:val="009D2F91"/>
    <w:rsid w:val="009E5E0D"/>
    <w:rsid w:val="00A52752"/>
    <w:rsid w:val="00A62DE8"/>
    <w:rsid w:val="00A65917"/>
    <w:rsid w:val="00A728CC"/>
    <w:rsid w:val="00A8256B"/>
    <w:rsid w:val="00A906AE"/>
    <w:rsid w:val="00A93C42"/>
    <w:rsid w:val="00AA1213"/>
    <w:rsid w:val="00AD709F"/>
    <w:rsid w:val="00AE5F04"/>
    <w:rsid w:val="00B13F81"/>
    <w:rsid w:val="00B16D34"/>
    <w:rsid w:val="00B44B60"/>
    <w:rsid w:val="00B75FE0"/>
    <w:rsid w:val="00B86E64"/>
    <w:rsid w:val="00B904CE"/>
    <w:rsid w:val="00B94F97"/>
    <w:rsid w:val="00BB3D35"/>
    <w:rsid w:val="00BC7F18"/>
    <w:rsid w:val="00BD71F9"/>
    <w:rsid w:val="00BE7F01"/>
    <w:rsid w:val="00C02217"/>
    <w:rsid w:val="00C06578"/>
    <w:rsid w:val="00C2545E"/>
    <w:rsid w:val="00C44891"/>
    <w:rsid w:val="00C71669"/>
    <w:rsid w:val="00CC5510"/>
    <w:rsid w:val="00CD6610"/>
    <w:rsid w:val="00CE70B7"/>
    <w:rsid w:val="00D119EC"/>
    <w:rsid w:val="00D16890"/>
    <w:rsid w:val="00D251BF"/>
    <w:rsid w:val="00D3532F"/>
    <w:rsid w:val="00D37224"/>
    <w:rsid w:val="00D555AD"/>
    <w:rsid w:val="00D95D82"/>
    <w:rsid w:val="00DA155F"/>
    <w:rsid w:val="00DA4049"/>
    <w:rsid w:val="00DD3D4C"/>
    <w:rsid w:val="00DD5D07"/>
    <w:rsid w:val="00DE4042"/>
    <w:rsid w:val="00E124F8"/>
    <w:rsid w:val="00E36755"/>
    <w:rsid w:val="00E42B5B"/>
    <w:rsid w:val="00E53209"/>
    <w:rsid w:val="00E54BD1"/>
    <w:rsid w:val="00E6169E"/>
    <w:rsid w:val="00E7754D"/>
    <w:rsid w:val="00E81451"/>
    <w:rsid w:val="00EA508E"/>
    <w:rsid w:val="00ED3E98"/>
    <w:rsid w:val="00EF2609"/>
    <w:rsid w:val="00F334B6"/>
    <w:rsid w:val="00F528B1"/>
    <w:rsid w:val="00F6054E"/>
    <w:rsid w:val="00FC3B9F"/>
    <w:rsid w:val="00FC4C48"/>
    <w:rsid w:val="00FE5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557305E-F948-48E0-A7CC-AE90473E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BD1"/>
  </w:style>
  <w:style w:type="paragraph" w:styleId="Footer">
    <w:name w:val="footer"/>
    <w:basedOn w:val="Normal"/>
    <w:link w:val="FooterChar"/>
    <w:uiPriority w:val="99"/>
    <w:unhideWhenUsed/>
    <w:rsid w:val="00E54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BD1"/>
  </w:style>
  <w:style w:type="character" w:styleId="Hyperlink">
    <w:name w:val="Hyperlink"/>
    <w:uiPriority w:val="99"/>
    <w:rsid w:val="00E54BD1"/>
    <w:rPr>
      <w:color w:val="0000FF"/>
      <w:u w:val="single"/>
    </w:rPr>
  </w:style>
  <w:style w:type="table" w:styleId="TableGrid">
    <w:name w:val="Table Grid"/>
    <w:basedOn w:val="TableNormal"/>
    <w:uiPriority w:val="39"/>
    <w:rsid w:val="00E54BD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4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BD1"/>
    <w:rPr>
      <w:rFonts w:ascii="Segoe UI" w:hAnsi="Segoe UI" w:cs="Segoe UI"/>
      <w:sz w:val="18"/>
      <w:szCs w:val="18"/>
    </w:rPr>
  </w:style>
  <w:style w:type="paragraph" w:styleId="FootnoteText">
    <w:name w:val="footnote text"/>
    <w:basedOn w:val="Normal"/>
    <w:link w:val="FootnoteTextChar"/>
    <w:rsid w:val="00685C25"/>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685C25"/>
    <w:rPr>
      <w:rFonts w:ascii="Arial" w:eastAsia="Times New Roman" w:hAnsi="Arial" w:cs="Times New Roman"/>
      <w:sz w:val="20"/>
      <w:szCs w:val="20"/>
    </w:rPr>
  </w:style>
  <w:style w:type="character" w:styleId="FootnoteReference">
    <w:name w:val="footnote reference"/>
    <w:basedOn w:val="DefaultParagraphFont"/>
    <w:rsid w:val="00685C25"/>
    <w:rPr>
      <w:vertAlign w:val="superscript"/>
    </w:rPr>
  </w:style>
  <w:style w:type="paragraph" w:styleId="NormalWeb">
    <w:name w:val="Normal (Web)"/>
    <w:basedOn w:val="Normal"/>
    <w:uiPriority w:val="99"/>
    <w:unhideWhenUsed/>
    <w:rsid w:val="009D2F91"/>
    <w:pPr>
      <w:spacing w:before="100" w:beforeAutospacing="1" w:after="100" w:afterAutospacing="1" w:line="240" w:lineRule="auto"/>
    </w:pPr>
    <w:rPr>
      <w:rFonts w:eastAsia="Times New Roman" w:cs="Times New Roman"/>
      <w:sz w:val="24"/>
      <w:szCs w:val="24"/>
    </w:rPr>
  </w:style>
  <w:style w:type="paragraph" w:customStyle="1" w:styleId="Default">
    <w:name w:val="Default"/>
    <w:rsid w:val="00750CEC"/>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9E5E0D"/>
    <w:pPr>
      <w:widowControl w:val="0"/>
      <w:spacing w:after="0" w:line="240" w:lineRule="auto"/>
      <w:ind w:left="1207"/>
    </w:pPr>
    <w:rPr>
      <w:rFonts w:ascii="Arial" w:eastAsia="Arial" w:hAnsi="Arial"/>
      <w:sz w:val="21"/>
      <w:szCs w:val="21"/>
    </w:rPr>
  </w:style>
  <w:style w:type="character" w:customStyle="1" w:styleId="BodyTextChar">
    <w:name w:val="Body Text Char"/>
    <w:basedOn w:val="DefaultParagraphFont"/>
    <w:link w:val="BodyText"/>
    <w:uiPriority w:val="1"/>
    <w:rsid w:val="009E5E0D"/>
    <w:rPr>
      <w:rFonts w:ascii="Arial" w:eastAsia="Arial" w:hAnsi="Arial"/>
      <w:sz w:val="21"/>
      <w:szCs w:val="21"/>
    </w:rPr>
  </w:style>
  <w:style w:type="paragraph" w:styleId="ListParagraph">
    <w:name w:val="List Paragraph"/>
    <w:basedOn w:val="Normal"/>
    <w:uiPriority w:val="1"/>
    <w:qFormat/>
    <w:rsid w:val="0039572C"/>
    <w:pPr>
      <w:ind w:left="720"/>
      <w:contextualSpacing/>
    </w:pPr>
  </w:style>
  <w:style w:type="paragraph" w:customStyle="1" w:styleId="Style1">
    <w:name w:val="Style1"/>
    <w:basedOn w:val="Normal"/>
    <w:rsid w:val="00AD709F"/>
    <w:pPr>
      <w:spacing w:after="0" w:line="240" w:lineRule="auto"/>
      <w:ind w:left="720" w:right="720"/>
    </w:pPr>
    <w:rPr>
      <w:rFonts w:ascii="Arial" w:eastAsia="Times New Roman" w:hAnsi="Arial" w:cs="Arial"/>
      <w:color w:val="000080"/>
      <w:szCs w:val="20"/>
    </w:rPr>
  </w:style>
  <w:style w:type="character" w:styleId="CommentReference">
    <w:name w:val="annotation reference"/>
    <w:basedOn w:val="DefaultParagraphFont"/>
    <w:uiPriority w:val="99"/>
    <w:semiHidden/>
    <w:unhideWhenUsed/>
    <w:rsid w:val="00E124F8"/>
    <w:rPr>
      <w:sz w:val="16"/>
      <w:szCs w:val="16"/>
    </w:rPr>
  </w:style>
  <w:style w:type="paragraph" w:styleId="CommentText">
    <w:name w:val="annotation text"/>
    <w:basedOn w:val="Normal"/>
    <w:link w:val="CommentTextChar"/>
    <w:uiPriority w:val="99"/>
    <w:semiHidden/>
    <w:unhideWhenUsed/>
    <w:rsid w:val="00E124F8"/>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E124F8"/>
    <w:rPr>
      <w:rFonts w:ascii="Arial" w:eastAsia="Times New Roman" w:hAnsi="Arial" w:cs="Times New Roman"/>
      <w:sz w:val="20"/>
      <w:szCs w:val="20"/>
    </w:rPr>
  </w:style>
  <w:style w:type="paragraph" w:customStyle="1" w:styleId="Style11">
    <w:name w:val="Style11"/>
    <w:basedOn w:val="Normal"/>
    <w:rsid w:val="00507A57"/>
    <w:pPr>
      <w:tabs>
        <w:tab w:val="left" w:pos="420"/>
        <w:tab w:val="left" w:pos="4320"/>
        <w:tab w:val="right" w:pos="9360"/>
      </w:tabs>
      <w:spacing w:before="60" w:after="60" w:line="240" w:lineRule="auto"/>
    </w:pPr>
    <w:rPr>
      <w:rFonts w:ascii="Arial" w:eastAsia="Times New Roman" w:hAnsi="Arial" w:cs="Arial"/>
      <w:bCs/>
      <w:szCs w:val="20"/>
    </w:rPr>
  </w:style>
  <w:style w:type="table" w:customStyle="1" w:styleId="TableGrid1">
    <w:name w:val="Table Grid1"/>
    <w:basedOn w:val="TableNormal"/>
    <w:next w:val="TableGrid"/>
    <w:uiPriority w:val="39"/>
    <w:rsid w:val="005F0C1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8145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7766">
      <w:bodyDiv w:val="1"/>
      <w:marLeft w:val="0"/>
      <w:marRight w:val="0"/>
      <w:marTop w:val="0"/>
      <w:marBottom w:val="0"/>
      <w:divBdr>
        <w:top w:val="none" w:sz="0" w:space="0" w:color="auto"/>
        <w:left w:val="none" w:sz="0" w:space="0" w:color="auto"/>
        <w:bottom w:val="none" w:sz="0" w:space="0" w:color="auto"/>
        <w:right w:val="none" w:sz="0" w:space="0" w:color="auto"/>
      </w:divBdr>
    </w:div>
    <w:div w:id="1001349366">
      <w:bodyDiv w:val="1"/>
      <w:marLeft w:val="0"/>
      <w:marRight w:val="0"/>
      <w:marTop w:val="0"/>
      <w:marBottom w:val="0"/>
      <w:divBdr>
        <w:top w:val="none" w:sz="0" w:space="0" w:color="auto"/>
        <w:left w:val="none" w:sz="0" w:space="0" w:color="auto"/>
        <w:bottom w:val="none" w:sz="0" w:space="0" w:color="auto"/>
        <w:right w:val="none" w:sz="0" w:space="0" w:color="auto"/>
      </w:divBdr>
    </w:div>
    <w:div w:id="1806046560">
      <w:bodyDiv w:val="1"/>
      <w:marLeft w:val="0"/>
      <w:marRight w:val="0"/>
      <w:marTop w:val="0"/>
      <w:marBottom w:val="0"/>
      <w:divBdr>
        <w:top w:val="none" w:sz="0" w:space="0" w:color="auto"/>
        <w:left w:val="none" w:sz="0" w:space="0" w:color="auto"/>
        <w:bottom w:val="none" w:sz="0" w:space="0" w:color="auto"/>
        <w:right w:val="none" w:sz="0" w:space="0" w:color="auto"/>
      </w:divBdr>
    </w:div>
    <w:div w:id="195443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orks.nebraska.gov/vosnet/Default.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l.nebraska.gov/EmploymentAndTraining/WIOA/ETP?sideMenu=JobSeekerResources"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1.png@01D2C96C.14E3F3A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CA5AF-5535-4311-BBA9-95FCF7973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6001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Nebraska Department of Labor</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Wren, Dylan</dc:creator>
  <cp:keywords/>
  <dc:description/>
  <cp:lastModifiedBy>Ideus, Rick</cp:lastModifiedBy>
  <cp:revision>2</cp:revision>
  <cp:lastPrinted>2018-10-02T15:04:00Z</cp:lastPrinted>
  <dcterms:created xsi:type="dcterms:W3CDTF">2018-10-23T15:28:00Z</dcterms:created>
  <dcterms:modified xsi:type="dcterms:W3CDTF">2018-10-23T15:28:00Z</dcterms:modified>
</cp:coreProperties>
</file>