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Pr="00E54BD1" w:rsidRDefault="00106754" w:rsidP="00FF4ED8">
            <w:pPr>
              <w:pStyle w:val="Header"/>
              <w:ind w:left="-288" w:right="-282" w:firstLine="288"/>
              <w:rPr>
                <w:b/>
                <w:color w:val="000000"/>
                <w:sz w:val="40"/>
                <w:szCs w:val="40"/>
              </w:rPr>
            </w:pPr>
            <w:r>
              <w:rPr>
                <w:b/>
                <w:color w:val="000000"/>
                <w:sz w:val="40"/>
                <w:szCs w:val="40"/>
              </w:rPr>
              <w:t>Adult Eligibility</w:t>
            </w:r>
            <w:r w:rsidR="00685C25" w:rsidRPr="00E54BD1">
              <w:rPr>
                <w:b/>
                <w:color w:val="000000"/>
                <w:sz w:val="40"/>
                <w:szCs w:val="40"/>
              </w:rPr>
              <w:t xml:space="preserve"> Policy </w:t>
            </w:r>
          </w:p>
          <w:p w:rsidR="00685C25" w:rsidRDefault="00685C25" w:rsidP="00FF4ED8"/>
        </w:tc>
        <w:tc>
          <w:tcPr>
            <w:tcW w:w="1620" w:type="dxa"/>
          </w:tcPr>
          <w:p w:rsidR="00685C25" w:rsidRDefault="00685C25" w:rsidP="00FF4ED8">
            <w:r>
              <w:t xml:space="preserve">Policy No. </w:t>
            </w:r>
          </w:p>
        </w:tc>
        <w:tc>
          <w:tcPr>
            <w:tcW w:w="1795" w:type="dxa"/>
          </w:tcPr>
          <w:p w:rsidR="00685C25" w:rsidRPr="007D6F57" w:rsidRDefault="00106754" w:rsidP="00FF4ED8">
            <w:pPr>
              <w:rPr>
                <w:sz w:val="56"/>
                <w:szCs w:val="56"/>
              </w:rPr>
            </w:pPr>
            <w:r>
              <w:rPr>
                <w:sz w:val="56"/>
                <w:szCs w:val="56"/>
              </w:rPr>
              <w:t>4</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85C25" w:rsidP="00FF4ED8">
            <w:pPr>
              <w:pStyle w:val="Header"/>
              <w:ind w:left="-288" w:right="-282" w:firstLine="288"/>
              <w:rPr>
                <w:rFonts w:eastAsia="+mn-ea"/>
                <w:bCs/>
                <w:kern w:val="24"/>
              </w:rPr>
            </w:pPr>
            <w:r w:rsidRPr="00A93C42">
              <w:rPr>
                <w:rFonts w:eastAsia="+mn-ea"/>
                <w:bCs/>
                <w:kern w:val="24"/>
              </w:rPr>
              <w:t>Lincoln,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A449CC"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1657D1" w:rsidP="00FF4ED8">
            <w:r>
              <w:t>Supportive Services Policy – Attachment S</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685C25">
      <w:pPr>
        <w:spacing w:after="0" w:line="240" w:lineRule="auto"/>
        <w:rPr>
          <w:rFonts w:eastAsia="Times New Roman" w:cs="Times New Roman"/>
          <w:b/>
          <w:u w:val="single"/>
        </w:rPr>
      </w:pPr>
    </w:p>
    <w:p w:rsidR="00685C25" w:rsidRPr="00685C25" w:rsidRDefault="00685C25" w:rsidP="00CE34E0">
      <w:pPr>
        <w:spacing w:after="0" w:line="240" w:lineRule="auto"/>
        <w:jc w:val="both"/>
        <w:rPr>
          <w:rFonts w:eastAsia="Times New Roman" w:cs="Times New Roman"/>
          <w:b/>
          <w:u w:val="single"/>
        </w:rPr>
      </w:pPr>
      <w:r w:rsidRPr="00685C25">
        <w:rPr>
          <w:rFonts w:eastAsia="+mn-ea" w:cs="Times New Roman"/>
          <w:b/>
          <w:bCs/>
          <w:color w:val="00607F"/>
          <w:kern w:val="24"/>
          <w:sz w:val="28"/>
          <w:szCs w:val="28"/>
          <w:u w:val="single"/>
        </w:rPr>
        <w:t>Reference</w:t>
      </w:r>
      <w:r w:rsidR="009D2F91" w:rsidRPr="009D2F91">
        <w:rPr>
          <w:rFonts w:eastAsia="Times New Roman" w:cs="Times New Roman"/>
          <w:b/>
          <w:u w:val="single"/>
        </w:rPr>
        <w:t xml:space="preserve"> </w:t>
      </w:r>
    </w:p>
    <w:p w:rsidR="00750CEC" w:rsidRDefault="00750CEC" w:rsidP="00CE34E0">
      <w:pPr>
        <w:spacing w:after="0"/>
        <w:jc w:val="both"/>
        <w:rPr>
          <w:sz w:val="23"/>
          <w:szCs w:val="23"/>
        </w:rPr>
      </w:pPr>
      <w:r>
        <w:rPr>
          <w:sz w:val="23"/>
          <w:szCs w:val="23"/>
        </w:rPr>
        <w:t xml:space="preserve">Workforce Innovation and Opportunity Act (WIOA) Sections 3, 129, 134, </w:t>
      </w:r>
      <w:r w:rsidR="00106754">
        <w:rPr>
          <w:sz w:val="23"/>
          <w:szCs w:val="23"/>
        </w:rPr>
        <w:t>188, and 189</w:t>
      </w:r>
    </w:p>
    <w:p w:rsidR="00106754" w:rsidRPr="00106754" w:rsidRDefault="00106754" w:rsidP="00CE34E0">
      <w:pPr>
        <w:spacing w:after="0"/>
        <w:jc w:val="both"/>
        <w:rPr>
          <w:sz w:val="23"/>
          <w:szCs w:val="23"/>
        </w:rPr>
      </w:pPr>
      <w:r>
        <w:t>20 CFR §§ 680.110, 680.140, 680.210, 680.220, 680.650, 681.430, 681.440, 683.230</w:t>
      </w:r>
    </w:p>
    <w:p w:rsidR="00106754" w:rsidRPr="00106754" w:rsidRDefault="00106754" w:rsidP="00CE34E0">
      <w:pPr>
        <w:pStyle w:val="Default"/>
        <w:jc w:val="both"/>
        <w:rPr>
          <w:rFonts w:ascii="Times New Roman" w:hAnsi="Times New Roman" w:cstheme="minorBidi"/>
          <w:color w:val="auto"/>
          <w:sz w:val="22"/>
          <w:szCs w:val="22"/>
        </w:rPr>
      </w:pPr>
      <w:r w:rsidRPr="00106754">
        <w:rPr>
          <w:rFonts w:ascii="Times New Roman" w:hAnsi="Times New Roman" w:cstheme="minorBidi"/>
          <w:color w:val="auto"/>
          <w:sz w:val="22"/>
          <w:szCs w:val="22"/>
        </w:rPr>
        <w:t xml:space="preserve">Neb. Rev. Stat. § 4-108; 38 U.S.C. §§ 101, 4215. </w:t>
      </w:r>
    </w:p>
    <w:p w:rsidR="00750CEC" w:rsidRPr="00106754" w:rsidRDefault="00750CEC" w:rsidP="00CE34E0">
      <w:pPr>
        <w:spacing w:after="0"/>
        <w:jc w:val="both"/>
      </w:pPr>
      <w:r w:rsidRPr="00106754">
        <w:t>Nebraska Depa</w:t>
      </w:r>
      <w:r w:rsidR="00106754" w:rsidRPr="00106754">
        <w:t xml:space="preserve">rtment of Labor (NDOL) Interim Policy on Eligibility for Adult Programs </w:t>
      </w:r>
    </w:p>
    <w:p w:rsidR="00750CEC" w:rsidRDefault="00750CEC" w:rsidP="00CE34E0">
      <w:pPr>
        <w:spacing w:after="0" w:line="240" w:lineRule="auto"/>
        <w:jc w:val="both"/>
        <w:rPr>
          <w:rFonts w:eastAsia="Times New Roman" w:cs="Times New Roman"/>
          <w:b/>
          <w:u w:val="single"/>
        </w:rPr>
      </w:pPr>
    </w:p>
    <w:p w:rsidR="00685C25" w:rsidRPr="00685C25" w:rsidRDefault="00685C25" w:rsidP="00CE34E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Purpose</w:t>
      </w:r>
    </w:p>
    <w:p w:rsidR="00685C25" w:rsidRPr="00685C25" w:rsidRDefault="00750CEC" w:rsidP="00CE34E0">
      <w:pPr>
        <w:spacing w:after="0" w:line="240" w:lineRule="auto"/>
        <w:jc w:val="both"/>
        <w:rPr>
          <w:rFonts w:eastAsia="Times New Roman" w:cs="Times New Roman"/>
        </w:rPr>
      </w:pPr>
      <w:r>
        <w:rPr>
          <w:rFonts w:eastAsia="Times New Roman" w:cs="Times New Roman"/>
        </w:rPr>
        <w:t>This policy establishes criteria f</w:t>
      </w:r>
      <w:r w:rsidR="00106754">
        <w:rPr>
          <w:rFonts w:eastAsia="Times New Roman" w:cs="Times New Roman"/>
        </w:rPr>
        <w:t xml:space="preserve">or adult program eligibility </w:t>
      </w:r>
      <w:r w:rsidR="00685C25" w:rsidRPr="00685C25">
        <w:rPr>
          <w:rFonts w:eastAsia="Times New Roman" w:cs="Times New Roman"/>
        </w:rPr>
        <w:t xml:space="preserve">in the local area. </w:t>
      </w:r>
    </w:p>
    <w:p w:rsidR="00685C25" w:rsidRPr="00685C25" w:rsidRDefault="00685C25" w:rsidP="00CE34E0">
      <w:pPr>
        <w:tabs>
          <w:tab w:val="left" w:pos="3660"/>
        </w:tabs>
        <w:spacing w:after="0" w:line="240" w:lineRule="auto"/>
        <w:jc w:val="both"/>
        <w:rPr>
          <w:rFonts w:eastAsia="Times New Roman" w:cs="Times New Roman"/>
        </w:rPr>
      </w:pPr>
      <w:r w:rsidRPr="00685C25">
        <w:rPr>
          <w:rFonts w:eastAsia="Times New Roman" w:cs="Times New Roman"/>
        </w:rPr>
        <w:tab/>
      </w:r>
    </w:p>
    <w:p w:rsidR="00685C25" w:rsidRPr="00685C25" w:rsidRDefault="00685C25" w:rsidP="00CE34E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Background </w:t>
      </w:r>
    </w:p>
    <w:p w:rsidR="00750CEC" w:rsidRDefault="00106754" w:rsidP="00CE34E0">
      <w:pPr>
        <w:spacing w:after="0" w:line="240" w:lineRule="auto"/>
        <w:jc w:val="both"/>
      </w:pPr>
      <w:r>
        <w:t>Eligibility criteria for the adult programs are defined under the provisions of the Workforce Innovation and Opportunity Act.</w:t>
      </w:r>
    </w:p>
    <w:p w:rsidR="00106754" w:rsidRDefault="00106754" w:rsidP="00CE34E0">
      <w:pPr>
        <w:spacing w:after="0" w:line="240" w:lineRule="auto"/>
        <w:jc w:val="both"/>
        <w:rPr>
          <w:rFonts w:eastAsia="Times New Roman" w:cs="Times New Roman"/>
        </w:rPr>
      </w:pPr>
    </w:p>
    <w:p w:rsidR="00685C25" w:rsidRPr="009D2F91" w:rsidRDefault="00685C25" w:rsidP="00CE34E0">
      <w:pPr>
        <w:spacing w:after="0" w:line="240" w:lineRule="auto"/>
        <w:jc w:val="both"/>
        <w:rPr>
          <w:rFonts w:eastAsia="+mn-ea" w:cs="Times New Roman"/>
          <w:b/>
          <w:bCs/>
          <w:color w:val="00607F"/>
          <w:kern w:val="24"/>
          <w:sz w:val="28"/>
          <w:szCs w:val="28"/>
          <w:u w:val="single"/>
        </w:rPr>
      </w:pPr>
      <w:r w:rsidRPr="009D2F91">
        <w:rPr>
          <w:rFonts w:eastAsia="+mn-ea" w:cs="Times New Roman"/>
          <w:b/>
          <w:bCs/>
          <w:color w:val="00607F"/>
          <w:kern w:val="24"/>
          <w:sz w:val="28"/>
          <w:szCs w:val="28"/>
          <w:u w:val="single"/>
        </w:rPr>
        <w:t xml:space="preserve">Action </w:t>
      </w:r>
    </w:p>
    <w:p w:rsidR="00685C25" w:rsidRDefault="009D2F91" w:rsidP="00CE34E0">
      <w:pPr>
        <w:spacing w:after="0" w:line="240" w:lineRule="auto"/>
        <w:jc w:val="both"/>
        <w:rPr>
          <w:rFonts w:eastAsia="Times New Roman" w:cs="Times New Roman"/>
        </w:rPr>
      </w:pPr>
      <w:r>
        <w:rPr>
          <w:rFonts w:eastAsia="Times New Roman" w:cs="Times New Roman"/>
        </w:rPr>
        <w:t>Effective 7/1/2017, r</w:t>
      </w:r>
      <w:r w:rsidR="00685C25">
        <w:rPr>
          <w:rFonts w:eastAsia="Times New Roman" w:cs="Times New Roman"/>
        </w:rPr>
        <w:t>egional managers, workforce coordinat</w:t>
      </w:r>
      <w:r>
        <w:rPr>
          <w:rFonts w:eastAsia="Times New Roman" w:cs="Times New Roman"/>
        </w:rPr>
        <w:t>ors, and other service provider</w:t>
      </w:r>
      <w:r w:rsidR="00685C25">
        <w:rPr>
          <w:rFonts w:eastAsia="Times New Roman" w:cs="Times New Roman"/>
        </w:rPr>
        <w:t xml:space="preserve"> staff </w:t>
      </w:r>
      <w:r>
        <w:rPr>
          <w:rFonts w:eastAsia="Times New Roman" w:cs="Times New Roman"/>
        </w:rPr>
        <w:t xml:space="preserve">must implement this policy. </w:t>
      </w:r>
    </w:p>
    <w:p w:rsidR="00685C25" w:rsidRPr="00685C25" w:rsidRDefault="00685C25" w:rsidP="00CE34E0">
      <w:pPr>
        <w:spacing w:after="0" w:line="240" w:lineRule="auto"/>
        <w:jc w:val="both"/>
        <w:rPr>
          <w:rFonts w:eastAsia="Times New Roman" w:cs="Times New Roman"/>
        </w:rPr>
      </w:pPr>
    </w:p>
    <w:p w:rsidR="00685C25" w:rsidRPr="00685C25" w:rsidRDefault="00685C25" w:rsidP="00CE34E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 xml:space="preserve">Policy </w:t>
      </w:r>
    </w:p>
    <w:p w:rsidR="00106754" w:rsidRDefault="00106754" w:rsidP="00CE34E0">
      <w:pPr>
        <w:spacing w:after="0" w:line="240" w:lineRule="auto"/>
        <w:jc w:val="both"/>
      </w:pPr>
      <w:r>
        <w:t>Section 3(2) of WIOA defines an “adult” as an individual who is age 18 or older.</w:t>
      </w:r>
    </w:p>
    <w:p w:rsidR="00106754" w:rsidRDefault="00106754" w:rsidP="00CE34E0">
      <w:pPr>
        <w:pStyle w:val="Default"/>
        <w:jc w:val="both"/>
      </w:pPr>
    </w:p>
    <w:p w:rsidR="00106754" w:rsidRPr="00106754" w:rsidRDefault="00106754" w:rsidP="00CE34E0">
      <w:pPr>
        <w:spacing w:after="0" w:line="240" w:lineRule="auto"/>
        <w:jc w:val="both"/>
        <w:rPr>
          <w:rFonts w:eastAsia="+mn-ea" w:cs="Times New Roman"/>
          <w:bCs/>
          <w:color w:val="00607F"/>
          <w:kern w:val="24"/>
          <w:sz w:val="28"/>
          <w:szCs w:val="28"/>
        </w:rPr>
      </w:pPr>
      <w:r w:rsidRPr="00106754">
        <w:rPr>
          <w:rFonts w:eastAsia="+mn-ea" w:cs="Times New Roman"/>
          <w:bCs/>
          <w:color w:val="00607F"/>
          <w:kern w:val="24"/>
          <w:sz w:val="28"/>
          <w:szCs w:val="28"/>
        </w:rPr>
        <w:t>Required Employment and Training Activities</w:t>
      </w:r>
    </w:p>
    <w:p w:rsidR="00106754" w:rsidRDefault="00106754" w:rsidP="00CE34E0">
      <w:pPr>
        <w:pStyle w:val="Default"/>
        <w:jc w:val="both"/>
      </w:pPr>
    </w:p>
    <w:p w:rsidR="00106754" w:rsidRDefault="00106754" w:rsidP="00CE34E0">
      <w:pPr>
        <w:spacing w:after="0" w:line="240" w:lineRule="auto"/>
        <w:jc w:val="both"/>
        <w:rPr>
          <w:rFonts w:eastAsia="+mn-ea" w:cs="Times New Roman"/>
          <w:b/>
          <w:bCs/>
          <w:color w:val="00607F"/>
          <w:kern w:val="24"/>
          <w:sz w:val="28"/>
          <w:szCs w:val="28"/>
          <w:u w:val="single"/>
        </w:rPr>
      </w:pPr>
      <w:r>
        <w:t>WIOA divides required employment and training activities provided by One-Stop operators and One-Stop partners into two categories: career services and training services. The eligibility requirements for services in these categories are different.</w:t>
      </w:r>
    </w:p>
    <w:p w:rsidR="00106754" w:rsidRDefault="00106754" w:rsidP="00CE34E0">
      <w:pPr>
        <w:spacing w:after="0" w:line="240" w:lineRule="auto"/>
        <w:ind w:firstLine="60"/>
        <w:jc w:val="both"/>
        <w:rPr>
          <w:rFonts w:eastAsia="+mn-ea" w:cs="Times New Roman"/>
          <w:b/>
          <w:bCs/>
          <w:color w:val="00607F"/>
          <w:kern w:val="24"/>
          <w:sz w:val="28"/>
          <w:szCs w:val="28"/>
          <w:u w:val="single"/>
        </w:rPr>
      </w:pPr>
    </w:p>
    <w:p w:rsidR="00106754" w:rsidRPr="00106754" w:rsidRDefault="00106754" w:rsidP="00CE34E0">
      <w:pPr>
        <w:pStyle w:val="Default"/>
        <w:jc w:val="both"/>
        <w:rPr>
          <w:rFonts w:ascii="Times New Roman" w:eastAsia="+mn-ea" w:hAnsi="Times New Roman" w:cs="Times New Roman"/>
          <w:bCs/>
          <w:color w:val="00607F"/>
          <w:kern w:val="24"/>
          <w:sz w:val="28"/>
          <w:szCs w:val="28"/>
        </w:rPr>
      </w:pPr>
      <w:r w:rsidRPr="00106754">
        <w:rPr>
          <w:rFonts w:ascii="Times New Roman" w:eastAsia="+mn-ea" w:hAnsi="Times New Roman" w:cs="Times New Roman"/>
          <w:bCs/>
          <w:color w:val="00607F"/>
          <w:kern w:val="24"/>
          <w:sz w:val="28"/>
          <w:szCs w:val="28"/>
        </w:rPr>
        <w:t xml:space="preserve">Required Career Services </w:t>
      </w:r>
    </w:p>
    <w:p w:rsidR="00106754" w:rsidRDefault="00106754" w:rsidP="00CE34E0">
      <w:pPr>
        <w:spacing w:after="0" w:line="240" w:lineRule="auto"/>
        <w:jc w:val="both"/>
        <w:rPr>
          <w:rFonts w:eastAsia="+mn-ea" w:cs="Times New Roman"/>
          <w:b/>
          <w:bCs/>
          <w:color w:val="00607F"/>
          <w:kern w:val="24"/>
          <w:sz w:val="28"/>
          <w:szCs w:val="28"/>
          <w:u w:val="single"/>
        </w:rPr>
      </w:pPr>
      <w:r>
        <w:t>Section 134(c</w:t>
      </w:r>
      <w:proofErr w:type="gramStart"/>
      <w:r>
        <w:t>)(</w:t>
      </w:r>
      <w:proofErr w:type="gramEnd"/>
      <w:r>
        <w:t>2)(A) of WIOA requires that local areas provide services that include, at a minimum:</w:t>
      </w:r>
    </w:p>
    <w:p w:rsidR="00106754" w:rsidRPr="00F63D67" w:rsidRDefault="00106754" w:rsidP="00CE34E0">
      <w:pPr>
        <w:pStyle w:val="Default"/>
        <w:jc w:val="both"/>
        <w:rPr>
          <w:rFonts w:ascii="Times New Roman" w:eastAsia="+mn-ea" w:hAnsi="Times New Roman" w:cs="Times New Roman"/>
          <w:b/>
          <w:bCs/>
          <w:color w:val="00607F"/>
          <w:kern w:val="24"/>
          <w:sz w:val="22"/>
          <w:szCs w:val="22"/>
          <w:u w:val="single"/>
        </w:rPr>
      </w:pP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Determinations of whether the individuals are eligible to receive assistance;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Outreach, intake (which may include worker profiling), and orientation to the information and other services available through the One-Stop delivery system; </w:t>
      </w:r>
    </w:p>
    <w:p w:rsidR="00106754" w:rsidRPr="00F63D67" w:rsidRDefault="00106754" w:rsidP="00CE34E0">
      <w:pPr>
        <w:pStyle w:val="ListParagraph"/>
        <w:jc w:val="both"/>
        <w:rPr>
          <w:rFonts w:cs="Times New Roman"/>
        </w:rPr>
      </w:pPr>
    </w:p>
    <w:p w:rsidR="00106754" w:rsidRPr="00F63D67" w:rsidRDefault="00106754" w:rsidP="00CE34E0">
      <w:pPr>
        <w:pStyle w:val="Default"/>
        <w:ind w:left="720"/>
        <w:jc w:val="both"/>
        <w:rPr>
          <w:rFonts w:ascii="Times New Roman" w:hAnsi="Times New Roman" w:cs="Times New Roman"/>
          <w:sz w:val="22"/>
          <w:szCs w:val="22"/>
        </w:rPr>
      </w:pP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lastRenderedPageBreak/>
        <w:t xml:space="preserve">Initial assessment of skill levels (including literacy, numeracy, and English language proficiency), aptitudes, abilities (including skills gaps), and supportive service needs;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Labor exchange services, including—</w:t>
      </w:r>
    </w:p>
    <w:p w:rsidR="00106754" w:rsidRPr="00F63D67" w:rsidRDefault="00106754"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Job search and placement assistance and, in appropriate cases, career counseling, including— </w:t>
      </w:r>
    </w:p>
    <w:p w:rsidR="00106754" w:rsidRPr="00F63D67" w:rsidRDefault="00106754" w:rsidP="00CE34E0">
      <w:pPr>
        <w:pStyle w:val="Default"/>
        <w:numPr>
          <w:ilvl w:val="2"/>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information on in-demand industry sectors and occupations; and </w:t>
      </w:r>
    </w:p>
    <w:p w:rsidR="00106754" w:rsidRPr="00F63D67" w:rsidRDefault="00106754" w:rsidP="00CE34E0">
      <w:pPr>
        <w:pStyle w:val="Default"/>
        <w:numPr>
          <w:ilvl w:val="2"/>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information on nontraditional employment; and </w:t>
      </w:r>
    </w:p>
    <w:p w:rsidR="00106754" w:rsidRPr="00F63D67" w:rsidRDefault="00106754"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Appropriate recruitment and other business services on behalf of employers, including small employers, in the local area, which services may include services described in this subsection, such as providing information and referral to specialized business services not traditionally offered through the One-Stop delivery system;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referrals to and coordination of activities with other programs and services, including programs and services within the One-Stop delivery system and, in appropriate cases, other workforce development programs;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workforce and labor market employment statistics information, including the provision of accurate information relating to local, regional, and national labor market areas, including— </w:t>
      </w:r>
    </w:p>
    <w:p w:rsidR="00106754" w:rsidRPr="00F63D67" w:rsidRDefault="00106754"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Job vacancy listings in such labor market areas; </w:t>
      </w:r>
    </w:p>
    <w:p w:rsidR="00106754" w:rsidRPr="00F63D67" w:rsidRDefault="00106754"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Information on job skills necessary to obtain the jobs described in (a); and </w:t>
      </w:r>
    </w:p>
    <w:p w:rsidR="00106754" w:rsidRPr="00F63D67" w:rsidRDefault="00106754"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Information relating to local occupations in demand and the earnings, skill requirements, and opportunities for advancement for such occupations;</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performance information and program cost information on eligible providers of training services as described in Section 122, provided by program, and eligible providers of youth workforce development activities described in Section 123, providers of adult education described in Title II, providers of career and technical education activities at the postsecondary level, and career and technical education activities available to school dropouts, under the Carl D. Perkins Career and Technical Education Act of 2006 (20 U.S.C. 2301 et. Seq.), and providers of vocational rehabilitation services described in Title I of the Rehabilitation Act of 1973 (29 U.S.C. 720 et seq.);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information, in formats that are usable by and understandable to One-Stop customers, regarding how the local area is performing on the local performance accountability measures and any additional performance information with respect to the One-Stop delivery system in the local area; </w:t>
      </w:r>
    </w:p>
    <w:p w:rsidR="00106754" w:rsidRPr="00F63D67" w:rsidRDefault="00106754"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Provision of information, in formats that are usable by and understandable to One-Stop center customers,</w:t>
      </w:r>
      <w:r w:rsidR="00F63D67" w:rsidRPr="00F63D67">
        <w:rPr>
          <w:rFonts w:ascii="Times New Roman" w:hAnsi="Times New Roman" w:cs="Times New Roman"/>
          <w:sz w:val="22"/>
          <w:szCs w:val="22"/>
        </w:rPr>
        <w:t xml:space="preserve"> relating to the availability of supportive services or assistance, including:</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Childcare, child support, medical or child health assistance under Title XIX or XXI of the Social Security Act (42 U.S.C. 1396 et seq. and 1397aa et seq.);</w:t>
      </w:r>
    </w:p>
    <w:p w:rsidR="00F63D67" w:rsidRPr="00F63D67" w:rsidRDefault="00CD7EC4" w:rsidP="00CE34E0">
      <w:pPr>
        <w:pStyle w:val="Default"/>
        <w:numPr>
          <w:ilvl w:val="1"/>
          <w:numId w:val="3"/>
        </w:numPr>
        <w:jc w:val="both"/>
        <w:rPr>
          <w:rFonts w:ascii="Times New Roman" w:hAnsi="Times New Roman" w:cs="Times New Roman"/>
          <w:sz w:val="22"/>
          <w:szCs w:val="22"/>
        </w:rPr>
      </w:pPr>
      <w:r>
        <w:rPr>
          <w:rFonts w:ascii="Times New Roman" w:hAnsi="Times New Roman" w:cs="Times New Roman"/>
          <w:sz w:val="22"/>
          <w:szCs w:val="22"/>
        </w:rPr>
        <w:t>Benefits under the Supplemental N</w:t>
      </w:r>
      <w:r w:rsidR="00F63D67" w:rsidRPr="00F63D67">
        <w:rPr>
          <w:rFonts w:ascii="Times New Roman" w:hAnsi="Times New Roman" w:cs="Times New Roman"/>
          <w:sz w:val="22"/>
          <w:szCs w:val="22"/>
        </w:rPr>
        <w:t>utr</w:t>
      </w:r>
      <w:r>
        <w:rPr>
          <w:rFonts w:ascii="Times New Roman" w:hAnsi="Times New Roman" w:cs="Times New Roman"/>
          <w:sz w:val="22"/>
          <w:szCs w:val="22"/>
        </w:rPr>
        <w:t>ition Assistance P</w:t>
      </w:r>
      <w:r w:rsidR="00F63D67" w:rsidRPr="00F63D67">
        <w:rPr>
          <w:rFonts w:ascii="Times New Roman" w:hAnsi="Times New Roman" w:cs="Times New Roman"/>
          <w:sz w:val="22"/>
          <w:szCs w:val="22"/>
        </w:rPr>
        <w:t xml:space="preserve">rogram established under the Food and Nutrition Act of 2008 (7 U.S.C. 2011 et seq.);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Assistance through the earned income tax credit under Section 32 of the Internal Revenue Code of 1986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Assist</w:t>
      </w:r>
      <w:r w:rsidR="00CD7EC4">
        <w:rPr>
          <w:rFonts w:ascii="Times New Roman" w:hAnsi="Times New Roman" w:cs="Times New Roman"/>
          <w:sz w:val="22"/>
          <w:szCs w:val="22"/>
        </w:rPr>
        <w:t>ance under a State program for Temporary A</w:t>
      </w:r>
      <w:r w:rsidRPr="00F63D67">
        <w:rPr>
          <w:rFonts w:ascii="Times New Roman" w:hAnsi="Times New Roman" w:cs="Times New Roman"/>
          <w:sz w:val="22"/>
          <w:szCs w:val="22"/>
        </w:rPr>
        <w:t>s</w:t>
      </w:r>
      <w:r w:rsidR="00CD7EC4">
        <w:rPr>
          <w:rFonts w:ascii="Times New Roman" w:hAnsi="Times New Roman" w:cs="Times New Roman"/>
          <w:sz w:val="22"/>
          <w:szCs w:val="22"/>
        </w:rPr>
        <w:t>sistance for Needy F</w:t>
      </w:r>
      <w:r w:rsidRPr="00F63D67">
        <w:rPr>
          <w:rFonts w:ascii="Times New Roman" w:hAnsi="Times New Roman" w:cs="Times New Roman"/>
          <w:sz w:val="22"/>
          <w:szCs w:val="22"/>
        </w:rPr>
        <w:t xml:space="preserve">amilies funded under part A of Title IV of the Social Security Act (42 U.S.C. 601 et seq.); and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Other supportive services and transportation provided through funds made available under such part, available in the local area;</w:t>
      </w:r>
    </w:p>
    <w:p w:rsidR="00F63D67" w:rsidRPr="00F63D67" w:rsidRDefault="00F63D67"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Referral to the services or assistance described in item 9 as appropriate; </w:t>
      </w:r>
    </w:p>
    <w:p w:rsidR="00F63D67" w:rsidRPr="00F63D67" w:rsidRDefault="00F63D67"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Provision of information and assistance regarding filing claims for unemployment compensation; </w:t>
      </w:r>
    </w:p>
    <w:p w:rsidR="00F63D67" w:rsidRPr="00F63D67" w:rsidRDefault="00F63D67"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Assistance in establishing eligibility for programs of financial aid assistance for training and education programs that are not funded under WIOA; </w:t>
      </w:r>
    </w:p>
    <w:p w:rsidR="00F63D67" w:rsidRPr="00F63D67" w:rsidRDefault="00F63D67"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lastRenderedPageBreak/>
        <w:t>Services, if determined to be appropriate in order for an individual to obtain or retain employment, that consist of—</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Comprehensive and specialized assessments of the skill levels and service needs, which may include: </w:t>
      </w:r>
    </w:p>
    <w:p w:rsidR="00F63D67" w:rsidRPr="00F63D67" w:rsidRDefault="00F63D67" w:rsidP="00CE34E0">
      <w:pPr>
        <w:pStyle w:val="Default"/>
        <w:numPr>
          <w:ilvl w:val="2"/>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Diagnostic testing and use of other assessment tools; and </w:t>
      </w:r>
    </w:p>
    <w:p w:rsidR="00F63D67" w:rsidRPr="00F63D67" w:rsidRDefault="00F63D67" w:rsidP="00CE34E0">
      <w:pPr>
        <w:pStyle w:val="Default"/>
        <w:numPr>
          <w:ilvl w:val="2"/>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In-depth interview and evaluation to identify employment barriers and appropriate employment goals;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Development of an individual employment plan, to identify the employment goals, appropriate achievement objectives, and appropriate combination of services for the participant to achieve the employment goals;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Group counseling;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Individual counseling;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Career planning;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Short-term prevocational services, including development of learning skills, communication skills, interviewing skills, punctuality, personal maintenance skills, and professional conduct;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Internships and work experiences that are linked to careers;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Workforce preparation activities;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Financial literacy services</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Out-of-area job search assistance and relocation assistance; or </w:t>
      </w:r>
    </w:p>
    <w:p w:rsidR="00F63D67" w:rsidRPr="00F63D67" w:rsidRDefault="00F63D67" w:rsidP="00CE34E0">
      <w:pPr>
        <w:pStyle w:val="Default"/>
        <w:numPr>
          <w:ilvl w:val="1"/>
          <w:numId w:val="3"/>
        </w:numPr>
        <w:jc w:val="both"/>
        <w:rPr>
          <w:rFonts w:ascii="Times New Roman" w:hAnsi="Times New Roman" w:cs="Times New Roman"/>
          <w:sz w:val="22"/>
          <w:szCs w:val="22"/>
        </w:rPr>
      </w:pPr>
      <w:r w:rsidRPr="00F63D67">
        <w:rPr>
          <w:rFonts w:ascii="Times New Roman" w:hAnsi="Times New Roman" w:cs="Times New Roman"/>
          <w:sz w:val="22"/>
          <w:szCs w:val="22"/>
        </w:rPr>
        <w:t xml:space="preserve">English language acquisition and integrated education and training programs; and </w:t>
      </w:r>
    </w:p>
    <w:p w:rsidR="00F63D67" w:rsidRPr="00F63D67" w:rsidRDefault="00F63D67" w:rsidP="00CE34E0">
      <w:pPr>
        <w:pStyle w:val="Default"/>
        <w:numPr>
          <w:ilvl w:val="0"/>
          <w:numId w:val="3"/>
        </w:numPr>
        <w:jc w:val="both"/>
        <w:rPr>
          <w:rFonts w:ascii="Times New Roman" w:hAnsi="Times New Roman" w:cs="Times New Roman"/>
          <w:sz w:val="22"/>
          <w:szCs w:val="22"/>
        </w:rPr>
      </w:pPr>
      <w:r w:rsidRPr="00F63D67">
        <w:rPr>
          <w:rFonts w:ascii="Times New Roman" w:hAnsi="Times New Roman" w:cs="Times New Roman"/>
          <w:sz w:val="22"/>
          <w:szCs w:val="22"/>
        </w:rPr>
        <w:t>Follow-up services, including counseling regarding the workplace, for participants in workforce development activities who are placed in unsubsidized employment, for not less than 12 months after the first day of employment, as appropriate.</w:t>
      </w:r>
      <w:r w:rsidRPr="00F63D67">
        <w:rPr>
          <w:rStyle w:val="FootnoteReference"/>
          <w:rFonts w:ascii="Times New Roman" w:hAnsi="Times New Roman" w:cs="Times New Roman"/>
          <w:sz w:val="22"/>
          <w:szCs w:val="22"/>
        </w:rPr>
        <w:footnoteReference w:id="1"/>
      </w:r>
    </w:p>
    <w:p w:rsidR="00F63D67" w:rsidRDefault="00F63D67" w:rsidP="00CE34E0">
      <w:pPr>
        <w:spacing w:after="0" w:line="240" w:lineRule="auto"/>
        <w:ind w:firstLine="60"/>
        <w:jc w:val="both"/>
        <w:rPr>
          <w:sz w:val="23"/>
          <w:szCs w:val="23"/>
        </w:rPr>
      </w:pPr>
    </w:p>
    <w:p w:rsidR="00106754" w:rsidRPr="00F63D67" w:rsidRDefault="00F63D67" w:rsidP="00CE34E0">
      <w:pPr>
        <w:spacing w:after="0" w:line="240" w:lineRule="auto"/>
        <w:ind w:firstLine="60"/>
        <w:jc w:val="both"/>
        <w:rPr>
          <w:rFonts w:eastAsia="+mn-ea" w:cs="Times New Roman"/>
          <w:bCs/>
          <w:color w:val="00607F"/>
          <w:kern w:val="24"/>
          <w:sz w:val="28"/>
          <w:szCs w:val="28"/>
        </w:rPr>
      </w:pPr>
      <w:r w:rsidRPr="00F63D67">
        <w:rPr>
          <w:rFonts w:eastAsia="+mn-ea" w:cs="Times New Roman"/>
          <w:bCs/>
          <w:color w:val="00607F"/>
          <w:kern w:val="24"/>
          <w:sz w:val="28"/>
          <w:szCs w:val="28"/>
        </w:rPr>
        <w:t>Eligibility for Career Services</w:t>
      </w:r>
    </w:p>
    <w:p w:rsidR="00106754" w:rsidRPr="00F63D67" w:rsidRDefault="00106754" w:rsidP="00CE34E0">
      <w:pPr>
        <w:spacing w:after="0" w:line="240" w:lineRule="auto"/>
        <w:ind w:firstLine="60"/>
        <w:jc w:val="both"/>
        <w:rPr>
          <w:rFonts w:eastAsia="+mn-ea" w:cs="Times New Roman"/>
          <w:b/>
          <w:bCs/>
          <w:color w:val="00607F"/>
          <w:kern w:val="24"/>
          <w:sz w:val="28"/>
          <w:szCs w:val="28"/>
          <w:u w:val="single"/>
        </w:rPr>
      </w:pPr>
    </w:p>
    <w:p w:rsidR="00F63D67" w:rsidRPr="00F63D67" w:rsidRDefault="00F63D67" w:rsidP="00CE34E0">
      <w:pPr>
        <w:pStyle w:val="Default"/>
        <w:jc w:val="both"/>
        <w:rPr>
          <w:rFonts w:ascii="Times New Roman" w:hAnsi="Times New Roman" w:cs="Times New Roman"/>
          <w:sz w:val="22"/>
          <w:szCs w:val="22"/>
        </w:rPr>
      </w:pPr>
      <w:r w:rsidRPr="00F63D67">
        <w:rPr>
          <w:rFonts w:ascii="Times New Roman" w:hAnsi="Times New Roman" w:cs="Times New Roman"/>
          <w:i/>
          <w:iCs/>
          <w:sz w:val="22"/>
          <w:szCs w:val="22"/>
        </w:rPr>
        <w:t xml:space="preserve">Priority </w:t>
      </w:r>
    </w:p>
    <w:p w:rsidR="00F63D67" w:rsidRDefault="00F63D67" w:rsidP="00CE34E0">
      <w:pPr>
        <w:spacing w:after="0" w:line="240" w:lineRule="auto"/>
        <w:jc w:val="both"/>
        <w:rPr>
          <w:rFonts w:eastAsia="+mn-ea" w:cs="Times New Roman"/>
          <w:b/>
          <w:bCs/>
          <w:color w:val="00607F"/>
          <w:kern w:val="24"/>
          <w:sz w:val="28"/>
          <w:szCs w:val="28"/>
          <w:u w:val="single"/>
        </w:rPr>
      </w:pPr>
      <w:r>
        <w:t>Generally, there are no special eligibility requirements for participation by adults in career services under Section 134(c</w:t>
      </w:r>
      <w:proofErr w:type="gramStart"/>
      <w:r>
        <w:t>)(</w:t>
      </w:r>
      <w:proofErr w:type="gramEnd"/>
      <w:r>
        <w:t>2) of WIOA. However, if the career services provided include services under Section 134(c)(2)(A)(xii) of WIOA (number 13 on the previous list), priority must be given to recipients of public assistance, other low-income individuals, and individuals who are basic skills deficient. The local board and the Governor will direct the One-Stop operators in the local area with regard to making determinations related to such priority</w:t>
      </w:r>
      <w:r w:rsidRPr="00F63D67">
        <w:t>.</w:t>
      </w:r>
      <w:r w:rsidRPr="00F63D67">
        <w:rPr>
          <w:rStyle w:val="FootnoteReference"/>
          <w:rFonts w:eastAsia="+mn-ea" w:cs="Times New Roman"/>
          <w:bCs/>
          <w:kern w:val="24"/>
          <w:sz w:val="28"/>
          <w:szCs w:val="28"/>
        </w:rPr>
        <w:footnoteReference w:id="2"/>
      </w:r>
    </w:p>
    <w:p w:rsidR="00F63D67" w:rsidRDefault="00F63D67" w:rsidP="00CE34E0">
      <w:pPr>
        <w:spacing w:after="0" w:line="240" w:lineRule="auto"/>
        <w:ind w:firstLine="60"/>
        <w:jc w:val="both"/>
        <w:rPr>
          <w:rFonts w:eastAsia="+mn-ea" w:cs="Times New Roman"/>
          <w:b/>
          <w:bCs/>
          <w:color w:val="00607F"/>
          <w:kern w:val="24"/>
          <w:sz w:val="28"/>
          <w:szCs w:val="28"/>
          <w:u w:val="single"/>
        </w:rPr>
      </w:pPr>
    </w:p>
    <w:p w:rsidR="00F63D67" w:rsidRPr="000F6E18" w:rsidRDefault="00F63D67" w:rsidP="00CE34E0">
      <w:pPr>
        <w:pStyle w:val="Default"/>
        <w:jc w:val="both"/>
        <w:rPr>
          <w:rFonts w:ascii="Times New Roman" w:hAnsi="Times New Roman" w:cs="Times New Roman"/>
          <w:sz w:val="22"/>
          <w:szCs w:val="22"/>
        </w:rPr>
      </w:pPr>
      <w:r w:rsidRPr="000F6E18">
        <w:rPr>
          <w:rFonts w:ascii="Times New Roman" w:hAnsi="Times New Roman" w:cs="Times New Roman"/>
          <w:b/>
          <w:bCs/>
          <w:sz w:val="22"/>
          <w:szCs w:val="22"/>
        </w:rPr>
        <w:t>Low Income Individual –</w:t>
      </w:r>
      <w:r w:rsidRPr="000F6E18">
        <w:rPr>
          <w:rFonts w:ascii="Times New Roman" w:hAnsi="Times New Roman" w:cs="Times New Roman"/>
          <w:sz w:val="22"/>
          <w:szCs w:val="22"/>
        </w:rPr>
        <w:t xml:space="preserve">Section 3(36) of WIOA defines a "low income individual" as one who: </w:t>
      </w:r>
    </w:p>
    <w:p w:rsidR="00F63D67" w:rsidRPr="000F6E18" w:rsidRDefault="00F63D67" w:rsidP="00CE34E0">
      <w:pPr>
        <w:pStyle w:val="Default"/>
        <w:spacing w:after="130"/>
        <w:jc w:val="both"/>
        <w:rPr>
          <w:rFonts w:ascii="Times New Roman" w:hAnsi="Times New Roman" w:cs="Times New Roman"/>
          <w:sz w:val="22"/>
          <w:szCs w:val="22"/>
        </w:rPr>
      </w:pP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Receives, or in the past 6 months has received, or is a member of a family that is receiving or in the past 6 months has received, assistance through the Supplemental Nutrition Assistance Program established under the Food and Nutrition Act of 2008 (7 U.S.C. 2011 et seq.), the program of block grants to States for Temporary Assistance for Needy Families program under part A of Title IV of the Social Security Act (42 U.S.C. 601 et seq.), or the supplemental security income established under Title XVI of the Social Security Act (42 U.S.C. 1381 et seq.) or State or local income-based public assistance; </w:t>
      </w:r>
    </w:p>
    <w:p w:rsidR="00F63D67" w:rsidRPr="000F6E18" w:rsidRDefault="00F63D67" w:rsidP="00CE34E0">
      <w:pPr>
        <w:pStyle w:val="Default"/>
        <w:numPr>
          <w:ilvl w:val="1"/>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lastRenderedPageBreak/>
        <w:t xml:space="preserve">Is in a family with total family income that does not exceed the higher of: </w:t>
      </w:r>
    </w:p>
    <w:p w:rsidR="00F63D67" w:rsidRPr="000F6E18" w:rsidRDefault="00F63D67" w:rsidP="00CE34E0">
      <w:pPr>
        <w:pStyle w:val="Default"/>
        <w:numPr>
          <w:ilvl w:val="1"/>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The poverty line; or </w:t>
      </w: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Seventy percent of the lower living standard income level. </w:t>
      </w: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Is a homeless individual (as defined in Section 41403(6) of the Violence Against Women Act of 1994 (42 U.S.C. 14043e-2(6))), or a homeless child or youth (as defined under Section 725(2) of the McKinney-Vento Homeless Assistance Act (42 U.S.C. 11434a(2))); </w:t>
      </w: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Receives or is eligible to receive a free or reduced price lunch under the Richard B. Russell National School Lunch Act (42 U.S.C. 1751 et seq.); </w:t>
      </w: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Is a foster child on behalf of whom state or local government payments are made; or </w:t>
      </w:r>
    </w:p>
    <w:p w:rsidR="00F63D67" w:rsidRPr="000F6E18" w:rsidRDefault="00F63D67" w:rsidP="00CE34E0">
      <w:pPr>
        <w:pStyle w:val="Default"/>
        <w:numPr>
          <w:ilvl w:val="0"/>
          <w:numId w:val="8"/>
        </w:numPr>
        <w:spacing w:after="130"/>
        <w:jc w:val="both"/>
        <w:rPr>
          <w:rFonts w:ascii="Times New Roman" w:hAnsi="Times New Roman" w:cs="Times New Roman"/>
          <w:sz w:val="22"/>
          <w:szCs w:val="22"/>
        </w:rPr>
      </w:pPr>
      <w:r w:rsidRPr="000F6E18">
        <w:rPr>
          <w:rFonts w:ascii="Times New Roman" w:hAnsi="Times New Roman" w:cs="Times New Roman"/>
          <w:sz w:val="22"/>
          <w:szCs w:val="22"/>
        </w:rPr>
        <w:t xml:space="preserve">Is an individual with a disability whose income meets the income requirement of (2), but who is a member of a family whose income does not meet </w:t>
      </w:r>
      <w:r w:rsidR="000F6E18" w:rsidRPr="000F6E18">
        <w:rPr>
          <w:rFonts w:ascii="Times New Roman" w:hAnsi="Times New Roman" w:cs="Times New Roman"/>
          <w:sz w:val="22"/>
          <w:szCs w:val="22"/>
        </w:rPr>
        <w:t xml:space="preserve">this </w:t>
      </w:r>
      <w:proofErr w:type="gramStart"/>
      <w:r w:rsidR="000F6E18" w:rsidRPr="000F6E18">
        <w:rPr>
          <w:rFonts w:ascii="Times New Roman" w:hAnsi="Times New Roman" w:cs="Times New Roman"/>
          <w:sz w:val="22"/>
          <w:szCs w:val="22"/>
        </w:rPr>
        <w:t>requirement.</w:t>
      </w:r>
      <w:proofErr w:type="gramEnd"/>
      <w:r w:rsidR="000F6E18" w:rsidRPr="000F6E18">
        <w:rPr>
          <w:rFonts w:ascii="Times New Roman" w:hAnsi="Times New Roman" w:cs="Times New Roman"/>
          <w:sz w:val="22"/>
          <w:szCs w:val="22"/>
        </w:rPr>
        <w:t xml:space="preserve"> </w:t>
      </w:r>
      <w:r w:rsidRPr="000F6E18">
        <w:rPr>
          <w:rFonts w:ascii="Times New Roman" w:hAnsi="Times New Roman" w:cs="Times New Roman"/>
          <w:sz w:val="22"/>
          <w:szCs w:val="22"/>
        </w:rPr>
        <w:t xml:space="preserve"> </w:t>
      </w:r>
    </w:p>
    <w:p w:rsidR="00F63D67" w:rsidRPr="000F6E18" w:rsidRDefault="00F63D67" w:rsidP="00CE34E0">
      <w:pPr>
        <w:spacing w:after="0" w:line="240" w:lineRule="auto"/>
        <w:ind w:firstLine="60"/>
        <w:jc w:val="both"/>
        <w:rPr>
          <w:rFonts w:eastAsia="+mn-ea" w:cs="Times New Roman"/>
          <w:b/>
          <w:bCs/>
          <w:color w:val="00607F"/>
          <w:kern w:val="24"/>
          <w:sz w:val="28"/>
          <w:szCs w:val="28"/>
          <w:u w:val="single"/>
        </w:rPr>
      </w:pPr>
      <w:r w:rsidRPr="000F6E18">
        <w:rPr>
          <w:rFonts w:cs="Times New Roman"/>
          <w:b/>
          <w:bCs/>
        </w:rPr>
        <w:t>Basic Skills Deficient –</w:t>
      </w:r>
      <w:r w:rsidRPr="000F6E18">
        <w:rPr>
          <w:rFonts w:cs="Times New Roman"/>
        </w:rPr>
        <w:t>Section 3(5) of WIOA defines “basic skills deficient” as an individual:</w:t>
      </w:r>
    </w:p>
    <w:p w:rsidR="00F63D67" w:rsidRPr="000F6E18" w:rsidRDefault="00F63D67" w:rsidP="00CE34E0">
      <w:pPr>
        <w:spacing w:after="0" w:line="240" w:lineRule="auto"/>
        <w:ind w:firstLine="60"/>
        <w:jc w:val="both"/>
        <w:rPr>
          <w:rFonts w:eastAsia="+mn-ea" w:cs="Times New Roman"/>
          <w:b/>
          <w:bCs/>
          <w:color w:val="00607F"/>
          <w:kern w:val="24"/>
          <w:sz w:val="28"/>
          <w:szCs w:val="28"/>
          <w:u w:val="single"/>
        </w:rPr>
      </w:pPr>
    </w:p>
    <w:p w:rsidR="000F6E18" w:rsidRPr="000F6E18" w:rsidRDefault="000F6E18" w:rsidP="00CE34E0">
      <w:pPr>
        <w:pStyle w:val="Default"/>
        <w:numPr>
          <w:ilvl w:val="0"/>
          <w:numId w:val="9"/>
        </w:numPr>
        <w:spacing w:after="29"/>
        <w:jc w:val="both"/>
        <w:rPr>
          <w:rFonts w:ascii="Times New Roman" w:hAnsi="Times New Roman" w:cs="Times New Roman"/>
          <w:sz w:val="22"/>
          <w:szCs w:val="22"/>
        </w:rPr>
      </w:pPr>
      <w:r w:rsidRPr="000F6E18">
        <w:rPr>
          <w:rFonts w:ascii="Times New Roman" w:hAnsi="Times New Roman" w:cs="Times New Roman"/>
          <w:sz w:val="22"/>
          <w:szCs w:val="22"/>
        </w:rPr>
        <w:t xml:space="preserve">Who is a youth (18-24), that the individual has English reading, writing, or computing skills at or below the 8th grade level on a generally accepted standardized test; or </w:t>
      </w:r>
    </w:p>
    <w:p w:rsidR="000F6E18" w:rsidRPr="000F6E18" w:rsidRDefault="000F6E18" w:rsidP="00CE34E0">
      <w:pPr>
        <w:pStyle w:val="Default"/>
        <w:jc w:val="both"/>
        <w:rPr>
          <w:rFonts w:ascii="Times New Roman" w:hAnsi="Times New Roman" w:cs="Times New Roman"/>
          <w:sz w:val="22"/>
          <w:szCs w:val="22"/>
        </w:rPr>
      </w:pPr>
    </w:p>
    <w:p w:rsidR="000F6E18" w:rsidRPr="000F6E18" w:rsidRDefault="000F6E18" w:rsidP="00CE34E0">
      <w:pPr>
        <w:pStyle w:val="Default"/>
        <w:numPr>
          <w:ilvl w:val="0"/>
          <w:numId w:val="9"/>
        </w:numPr>
        <w:jc w:val="both"/>
        <w:rPr>
          <w:rFonts w:ascii="Times New Roman" w:hAnsi="Times New Roman" w:cs="Times New Roman"/>
          <w:sz w:val="22"/>
          <w:szCs w:val="22"/>
        </w:rPr>
      </w:pPr>
      <w:r w:rsidRPr="000F6E18">
        <w:rPr>
          <w:rFonts w:ascii="Times New Roman" w:hAnsi="Times New Roman" w:cs="Times New Roman"/>
          <w:sz w:val="22"/>
          <w:szCs w:val="22"/>
        </w:rPr>
        <w:t xml:space="preserve">Who is a youth or adult that the individual is unable to compute or solve problems, or read, write, or speak English, at a level necessary to function on the job, in the individual’s family, or in society. </w:t>
      </w:r>
    </w:p>
    <w:p w:rsidR="000F6E18" w:rsidRDefault="000F6E18" w:rsidP="00CE34E0">
      <w:pPr>
        <w:pStyle w:val="Default"/>
        <w:jc w:val="both"/>
        <w:rPr>
          <w:sz w:val="23"/>
          <w:szCs w:val="23"/>
        </w:rPr>
      </w:pPr>
    </w:p>
    <w:p w:rsidR="000F6E18" w:rsidRPr="000F6E18" w:rsidRDefault="000F6E18" w:rsidP="00CE34E0">
      <w:pPr>
        <w:pStyle w:val="Default"/>
        <w:jc w:val="both"/>
        <w:rPr>
          <w:rFonts w:ascii="Times New Roman" w:eastAsia="+mn-ea" w:hAnsi="Times New Roman" w:cs="Times New Roman"/>
          <w:bCs/>
          <w:color w:val="00607F"/>
          <w:kern w:val="24"/>
          <w:sz w:val="28"/>
          <w:szCs w:val="28"/>
        </w:rPr>
      </w:pPr>
      <w:r w:rsidRPr="000F6E18">
        <w:rPr>
          <w:rFonts w:ascii="Times New Roman" w:eastAsia="+mn-ea" w:hAnsi="Times New Roman" w:cs="Times New Roman"/>
          <w:bCs/>
          <w:color w:val="00607F"/>
          <w:kern w:val="24"/>
          <w:sz w:val="28"/>
          <w:szCs w:val="28"/>
        </w:rPr>
        <w:t xml:space="preserve">Required Training Services </w:t>
      </w:r>
    </w:p>
    <w:p w:rsidR="000F6E18" w:rsidRPr="000F6E18" w:rsidRDefault="000F6E18" w:rsidP="00CE34E0">
      <w:pPr>
        <w:pStyle w:val="Default"/>
        <w:jc w:val="both"/>
        <w:rPr>
          <w:rFonts w:ascii="Times New Roman" w:hAnsi="Times New Roman" w:cs="Times New Roman"/>
          <w:sz w:val="22"/>
          <w:szCs w:val="22"/>
        </w:rPr>
      </w:pPr>
      <w:r w:rsidRPr="000F6E18">
        <w:rPr>
          <w:rFonts w:ascii="Times New Roman" w:hAnsi="Times New Roman" w:cs="Times New Roman"/>
          <w:sz w:val="22"/>
          <w:szCs w:val="22"/>
        </w:rPr>
        <w:t>As defined by Section 134(c</w:t>
      </w:r>
      <w:proofErr w:type="gramStart"/>
      <w:r w:rsidRPr="000F6E18">
        <w:rPr>
          <w:rFonts w:ascii="Times New Roman" w:hAnsi="Times New Roman" w:cs="Times New Roman"/>
          <w:sz w:val="22"/>
          <w:szCs w:val="22"/>
        </w:rPr>
        <w:t>)(</w:t>
      </w:r>
      <w:proofErr w:type="gramEnd"/>
      <w:r w:rsidRPr="000F6E18">
        <w:rPr>
          <w:rFonts w:ascii="Times New Roman" w:hAnsi="Times New Roman" w:cs="Times New Roman"/>
          <w:sz w:val="22"/>
          <w:szCs w:val="22"/>
        </w:rPr>
        <w:t xml:space="preserve">3)(D) of WIOA, training services may include: </w:t>
      </w:r>
    </w:p>
    <w:p w:rsidR="000F6E18" w:rsidRDefault="000F6E18" w:rsidP="00CE34E0">
      <w:pPr>
        <w:pStyle w:val="Default"/>
        <w:jc w:val="both"/>
        <w:rPr>
          <w:sz w:val="22"/>
          <w:szCs w:val="22"/>
        </w:rPr>
      </w:pP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Occupational skills training, including training for nontraditional employment;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On-the-job training;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Incumbent worker training;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Programs that combine workplace training with related instruction, which may include cooperative education programs;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Training programs operated by the private sector;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Skill upgrading and retraining;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Entrepreneurial training;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Transitional jobs;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Job readiness training provided in combination with the other services in this list; </w:t>
      </w:r>
    </w:p>
    <w:p w:rsidR="000F6E18" w:rsidRPr="000F6E18" w:rsidRDefault="000F6E18" w:rsidP="00CE34E0">
      <w:pPr>
        <w:pStyle w:val="Default"/>
        <w:numPr>
          <w:ilvl w:val="0"/>
          <w:numId w:val="11"/>
        </w:numPr>
        <w:jc w:val="both"/>
        <w:rPr>
          <w:rFonts w:ascii="Times New Roman" w:hAnsi="Times New Roman" w:cs="Times New Roman"/>
          <w:sz w:val="22"/>
          <w:szCs w:val="22"/>
        </w:rPr>
      </w:pPr>
      <w:r w:rsidRPr="000F6E18">
        <w:rPr>
          <w:rFonts w:ascii="Times New Roman" w:hAnsi="Times New Roman" w:cs="Times New Roman"/>
          <w:sz w:val="22"/>
          <w:szCs w:val="22"/>
        </w:rPr>
        <w:t xml:space="preserve">Adult education and literacy activities, including activities of English language acquisition and integrated education and training programs, provided concurrently or in combination with any of the other services in this list; and </w:t>
      </w:r>
    </w:p>
    <w:p w:rsidR="00F63D67" w:rsidRPr="000F6E18" w:rsidRDefault="000F6E18" w:rsidP="00CE34E0">
      <w:pPr>
        <w:pStyle w:val="ListParagraph"/>
        <w:numPr>
          <w:ilvl w:val="0"/>
          <w:numId w:val="11"/>
        </w:numPr>
        <w:spacing w:after="0" w:line="240" w:lineRule="auto"/>
        <w:jc w:val="both"/>
        <w:rPr>
          <w:rFonts w:eastAsia="+mn-ea" w:cs="Times New Roman"/>
          <w:b/>
          <w:bCs/>
          <w:color w:val="00607F"/>
          <w:kern w:val="24"/>
          <w:sz w:val="28"/>
          <w:szCs w:val="28"/>
          <w:u w:val="single"/>
        </w:rPr>
      </w:pPr>
      <w:r w:rsidRPr="000F6E18">
        <w:rPr>
          <w:rFonts w:cs="Times New Roman"/>
        </w:rPr>
        <w:t>Customized training conducted with a commitment by an employer or group of employers to employ an individual upon successful completion of the training.</w:t>
      </w:r>
    </w:p>
    <w:p w:rsidR="000F6E18" w:rsidRDefault="000F6E18" w:rsidP="00CE34E0">
      <w:pPr>
        <w:pStyle w:val="Default"/>
        <w:jc w:val="both"/>
        <w:rPr>
          <w:i/>
          <w:iCs/>
          <w:sz w:val="23"/>
          <w:szCs w:val="23"/>
        </w:rPr>
      </w:pPr>
    </w:p>
    <w:p w:rsidR="000F6E18" w:rsidRPr="000F6E18" w:rsidRDefault="000F6E18" w:rsidP="00CE34E0">
      <w:pPr>
        <w:pStyle w:val="Default"/>
        <w:jc w:val="both"/>
        <w:rPr>
          <w:rFonts w:ascii="Times New Roman" w:eastAsia="+mn-ea" w:hAnsi="Times New Roman" w:cs="Times New Roman"/>
          <w:bCs/>
          <w:i/>
          <w:color w:val="00607F"/>
          <w:kern w:val="24"/>
          <w:sz w:val="28"/>
          <w:szCs w:val="28"/>
        </w:rPr>
      </w:pPr>
      <w:r w:rsidRPr="000F6E18">
        <w:rPr>
          <w:rFonts w:ascii="Times New Roman" w:eastAsia="+mn-ea" w:hAnsi="Times New Roman" w:cs="Times New Roman"/>
          <w:bCs/>
          <w:i/>
          <w:color w:val="00607F"/>
          <w:kern w:val="24"/>
          <w:sz w:val="28"/>
          <w:szCs w:val="28"/>
        </w:rPr>
        <w:t xml:space="preserve">Linkage to Occupations in Demand </w:t>
      </w:r>
    </w:p>
    <w:p w:rsidR="00F63D67" w:rsidRDefault="000F6E18" w:rsidP="00CE34E0">
      <w:pPr>
        <w:spacing w:after="0" w:line="240" w:lineRule="auto"/>
        <w:jc w:val="both"/>
      </w:pPr>
      <w:r>
        <w:t>Training services provided must be directly linked to an in-demand industry sector or occupation in the local area or the planning region, or in another area to which an adult receiving such services is willing to relocate, except that a local board may approve training services for occupations determined by the local board to be in sectors of the economy that have a high potential for sustained demand or growth in the local area.</w:t>
      </w:r>
      <w:r w:rsidRPr="000F6E18">
        <w:rPr>
          <w:rStyle w:val="FootnoteReference"/>
          <w:rFonts w:eastAsia="+mn-ea" w:cs="Times New Roman"/>
          <w:bCs/>
          <w:kern w:val="24"/>
          <w:sz w:val="28"/>
          <w:szCs w:val="28"/>
        </w:rPr>
        <w:footnoteReference w:id="3"/>
      </w:r>
    </w:p>
    <w:p w:rsidR="000F6E18" w:rsidRPr="000F6E18" w:rsidRDefault="000F6E18" w:rsidP="00CE34E0">
      <w:pPr>
        <w:spacing w:after="0" w:line="240" w:lineRule="auto"/>
        <w:jc w:val="both"/>
        <w:rPr>
          <w:rFonts w:eastAsia="+mn-ea" w:cs="Times New Roman"/>
          <w:bCs/>
          <w:i/>
          <w:color w:val="00607F"/>
          <w:kern w:val="24"/>
          <w:sz w:val="28"/>
          <w:szCs w:val="28"/>
        </w:rPr>
      </w:pPr>
    </w:p>
    <w:p w:rsidR="000F6E18" w:rsidRPr="000F6E18" w:rsidRDefault="000F6E18" w:rsidP="00CE34E0">
      <w:pPr>
        <w:pStyle w:val="Default"/>
        <w:jc w:val="both"/>
        <w:rPr>
          <w:rFonts w:ascii="Times New Roman" w:eastAsia="+mn-ea" w:hAnsi="Times New Roman" w:cs="Times New Roman"/>
          <w:bCs/>
          <w:i/>
          <w:color w:val="00607F"/>
          <w:kern w:val="24"/>
          <w:sz w:val="28"/>
          <w:szCs w:val="28"/>
        </w:rPr>
      </w:pPr>
      <w:r w:rsidRPr="000F6E18">
        <w:rPr>
          <w:rFonts w:ascii="Times New Roman" w:eastAsia="+mn-ea" w:hAnsi="Times New Roman" w:cs="Times New Roman"/>
          <w:bCs/>
          <w:i/>
          <w:color w:val="00607F"/>
          <w:kern w:val="24"/>
          <w:sz w:val="28"/>
          <w:szCs w:val="28"/>
        </w:rPr>
        <w:t xml:space="preserve">Eligibility for Training Services </w:t>
      </w:r>
    </w:p>
    <w:p w:rsidR="000F6E18" w:rsidRDefault="000F6E18" w:rsidP="00CE34E0">
      <w:pPr>
        <w:spacing w:after="0" w:line="240" w:lineRule="auto"/>
        <w:jc w:val="both"/>
      </w:pPr>
      <w:r>
        <w:t>Funds for adult training services under Section 134(c</w:t>
      </w:r>
      <w:proofErr w:type="gramStart"/>
      <w:r>
        <w:t>)(</w:t>
      </w:r>
      <w:proofErr w:type="gramEnd"/>
      <w:r>
        <w:t>3) of WIOA must be used to provide training to adults who:</w:t>
      </w:r>
    </w:p>
    <w:p w:rsidR="000F6E18" w:rsidRDefault="000F6E18" w:rsidP="00CE34E0">
      <w:pPr>
        <w:spacing w:after="0" w:line="240" w:lineRule="auto"/>
        <w:jc w:val="both"/>
      </w:pPr>
    </w:p>
    <w:p w:rsidR="000F6E18" w:rsidRDefault="000F6E18" w:rsidP="00CE34E0">
      <w:pPr>
        <w:pStyle w:val="ListParagraph"/>
        <w:numPr>
          <w:ilvl w:val="0"/>
          <w:numId w:val="12"/>
        </w:numPr>
        <w:spacing w:after="0" w:line="240" w:lineRule="auto"/>
        <w:jc w:val="both"/>
      </w:pPr>
      <w:r w:rsidRPr="000F6E18">
        <w:t>After an interview, evaluation, or assessment, and career planning, have been determined by a One-Stop operator or One-Stop partner, as appropriate, to</w:t>
      </w:r>
    </w:p>
    <w:p w:rsidR="000F6E18" w:rsidRDefault="000F6E18" w:rsidP="00CE34E0">
      <w:pPr>
        <w:pStyle w:val="ListParagraph"/>
        <w:numPr>
          <w:ilvl w:val="1"/>
          <w:numId w:val="12"/>
        </w:numPr>
        <w:spacing w:after="0" w:line="240" w:lineRule="auto"/>
        <w:jc w:val="both"/>
      </w:pPr>
      <w:r w:rsidRPr="000F6E18">
        <w:t xml:space="preserve">Be unlikely or unable to obtain or retain employment, that leads to economic self-sufficiency or wages comparable to or higher than wages from previous employment, through the career services; </w:t>
      </w:r>
    </w:p>
    <w:p w:rsidR="000F6E18" w:rsidRDefault="000F6E18" w:rsidP="00CE34E0">
      <w:pPr>
        <w:pStyle w:val="ListParagraph"/>
        <w:numPr>
          <w:ilvl w:val="1"/>
          <w:numId w:val="12"/>
        </w:numPr>
        <w:spacing w:after="0" w:line="240" w:lineRule="auto"/>
        <w:jc w:val="both"/>
      </w:pPr>
      <w:r w:rsidRPr="000F6E18">
        <w:t xml:space="preserve">Be in need of training services to obtain or retain employment that leads to economic self-sufficiency or wages comparable to or higher than wages from previous employment; and </w:t>
      </w:r>
    </w:p>
    <w:p w:rsidR="000F6E18" w:rsidRPr="000F6E18" w:rsidRDefault="000F6E18" w:rsidP="00CE34E0">
      <w:pPr>
        <w:pStyle w:val="ListParagraph"/>
        <w:numPr>
          <w:ilvl w:val="1"/>
          <w:numId w:val="12"/>
        </w:numPr>
        <w:spacing w:after="0" w:line="240" w:lineRule="auto"/>
        <w:jc w:val="both"/>
      </w:pPr>
      <w:r w:rsidRPr="000F6E18">
        <w:t xml:space="preserve">Have the skills and qualifications to successfully participate in the selected program of training services; </w:t>
      </w:r>
    </w:p>
    <w:p w:rsidR="000F6E18" w:rsidRDefault="000F6E18" w:rsidP="00CE34E0">
      <w:pPr>
        <w:pStyle w:val="Default"/>
        <w:jc w:val="both"/>
        <w:rPr>
          <w:sz w:val="22"/>
          <w:szCs w:val="22"/>
        </w:rPr>
      </w:pPr>
    </w:p>
    <w:p w:rsidR="000F6E18" w:rsidRDefault="000F6E18" w:rsidP="00CE34E0">
      <w:pPr>
        <w:spacing w:after="0" w:line="240" w:lineRule="auto"/>
        <w:ind w:left="1440"/>
        <w:jc w:val="both"/>
      </w:pPr>
      <w:r>
        <w:rPr>
          <w:b/>
          <w:bCs/>
        </w:rPr>
        <w:t xml:space="preserve">Use of Previous Assessment – </w:t>
      </w:r>
      <w:r>
        <w:t>A One-Stop operator or One-Stop partner is not required to conduct a new interview, evaluation, or assessment of a participant if it determines that it is appropriate to use a recent interview, evaluation, or assessment of the participant conducted pursuant to another education or training program.</w:t>
      </w:r>
      <w:r w:rsidR="00060F36">
        <w:rPr>
          <w:rStyle w:val="FootnoteReference"/>
        </w:rPr>
        <w:footnoteReference w:id="4"/>
      </w:r>
    </w:p>
    <w:p w:rsidR="000F6E18" w:rsidRDefault="000F6E18" w:rsidP="00CE34E0">
      <w:pPr>
        <w:spacing w:after="0" w:line="240" w:lineRule="auto"/>
        <w:jc w:val="both"/>
      </w:pPr>
    </w:p>
    <w:p w:rsidR="000F6E18" w:rsidRDefault="000F6E18" w:rsidP="00CE34E0">
      <w:pPr>
        <w:pStyle w:val="ListParagraph"/>
        <w:numPr>
          <w:ilvl w:val="0"/>
          <w:numId w:val="12"/>
        </w:numPr>
        <w:spacing w:after="0" w:line="240" w:lineRule="auto"/>
        <w:jc w:val="both"/>
      </w:pPr>
      <w:r>
        <w:t xml:space="preserve">Select programs of training services that are directly linked to the employment opportunities in the local area or the planning region, or in another area to which the adults or dislocated workers are willing to commute or relocate; and </w:t>
      </w:r>
    </w:p>
    <w:p w:rsidR="000F6E18" w:rsidRDefault="000F6E18" w:rsidP="00CE34E0">
      <w:pPr>
        <w:pStyle w:val="ListParagraph"/>
        <w:numPr>
          <w:ilvl w:val="0"/>
          <w:numId w:val="12"/>
        </w:numPr>
        <w:spacing w:after="0" w:line="240" w:lineRule="auto"/>
        <w:jc w:val="both"/>
      </w:pPr>
      <w:r w:rsidRPr="000F6E18">
        <w:t>Are unable to obtain other grant assistance for such training, including such sources as State-funded training funds, Trade Adjustment Assistance, and Federal Pell Grants, or require WIOA assistance in addition to other sources of grant assistance, including Federal Pell Grants</w:t>
      </w:r>
      <w:r w:rsidR="00060F36">
        <w:rPr>
          <w:rStyle w:val="FootnoteReference"/>
        </w:rPr>
        <w:footnoteReference w:id="5"/>
      </w:r>
      <w:r w:rsidRPr="000F6E18">
        <w:t xml:space="preserve">. For further information, see the “Individual Training Accounts” policy. </w:t>
      </w:r>
    </w:p>
    <w:p w:rsidR="000F6E18" w:rsidRPr="000F6E18" w:rsidRDefault="000F6E18" w:rsidP="00CE34E0">
      <w:pPr>
        <w:pStyle w:val="Default"/>
        <w:ind w:left="720"/>
        <w:jc w:val="both"/>
        <w:rPr>
          <w:sz w:val="22"/>
          <w:szCs w:val="22"/>
        </w:rPr>
      </w:pPr>
    </w:p>
    <w:p w:rsidR="000F6E18" w:rsidRDefault="000F6E18" w:rsidP="00CE34E0">
      <w:pPr>
        <w:spacing w:after="0" w:line="240" w:lineRule="auto"/>
        <w:ind w:left="720"/>
        <w:jc w:val="both"/>
        <w:rPr>
          <w:sz w:val="14"/>
          <w:szCs w:val="14"/>
        </w:rPr>
      </w:pPr>
      <w:r>
        <w:rPr>
          <w:b/>
          <w:bCs/>
        </w:rPr>
        <w:t xml:space="preserve">Require assistance – </w:t>
      </w:r>
      <w:r>
        <w:t>When making the determination about whether an individual requires assistance, a One-Stop operator may take into consideration the full cost of participating in training services, including the costs of dependent care and transportation, and other appropriate costs.</w:t>
      </w:r>
      <w:r w:rsidR="00060F36">
        <w:rPr>
          <w:rStyle w:val="FootnoteReference"/>
          <w:sz w:val="14"/>
          <w:szCs w:val="14"/>
        </w:rPr>
        <w:footnoteReference w:id="6"/>
      </w:r>
    </w:p>
    <w:p w:rsidR="000361E1" w:rsidRDefault="000361E1" w:rsidP="00CE34E0">
      <w:pPr>
        <w:spacing w:after="0" w:line="240" w:lineRule="auto"/>
        <w:ind w:left="720"/>
        <w:jc w:val="both"/>
      </w:pPr>
    </w:p>
    <w:p w:rsidR="000F6E18" w:rsidRDefault="000361E1" w:rsidP="00CE34E0">
      <w:pPr>
        <w:spacing w:after="0" w:line="240" w:lineRule="auto"/>
        <w:jc w:val="both"/>
      </w:pPr>
      <w:r>
        <w:t>The case file must contain a determination of need for training services under 20 CFR § 680.210 as determined through the interview, evaluation, or assessment , and career planning informed by local market information and training provider performance information, or through any other career service received. There is no requirement that career services be provided as a condition to receipt of training services; however, if career services are not provided before training, the local board must document the circumstances that justified its determination to provide training without first providing the services described in 20 CFR § 680.220</w:t>
      </w:r>
      <w:r w:rsidR="00060F36">
        <w:rPr>
          <w:rStyle w:val="FootnoteReference"/>
        </w:rPr>
        <w:footnoteReference w:id="7"/>
      </w:r>
      <w:r>
        <w:t>.</w:t>
      </w:r>
      <w:r>
        <w:rPr>
          <w:sz w:val="14"/>
          <w:szCs w:val="14"/>
        </w:rPr>
        <w:t xml:space="preserve"> </w:t>
      </w:r>
      <w:r>
        <w:t>There is no Federally-required minimum time period for participation in career services before receiving training services.</w:t>
      </w:r>
      <w:r w:rsidR="00060F36" w:rsidRPr="00060F36">
        <w:rPr>
          <w:rStyle w:val="FootnoteReference"/>
          <w:rFonts w:eastAsia="+mn-ea" w:cs="Times New Roman"/>
          <w:bCs/>
          <w:kern w:val="24"/>
          <w:sz w:val="28"/>
          <w:szCs w:val="28"/>
        </w:rPr>
        <w:footnoteReference w:id="8"/>
      </w:r>
    </w:p>
    <w:p w:rsidR="00060F36" w:rsidRDefault="00060F36" w:rsidP="00CE34E0">
      <w:pPr>
        <w:spacing w:after="0" w:line="240" w:lineRule="auto"/>
        <w:jc w:val="both"/>
      </w:pPr>
    </w:p>
    <w:p w:rsidR="00060F36" w:rsidRPr="00060F36" w:rsidRDefault="00060F36" w:rsidP="00CE34E0">
      <w:pPr>
        <w:pStyle w:val="Default"/>
        <w:jc w:val="both"/>
        <w:rPr>
          <w:rFonts w:ascii="Times New Roman" w:eastAsia="+mn-ea" w:hAnsi="Times New Roman" w:cs="Times New Roman"/>
          <w:bCs/>
          <w:i/>
          <w:color w:val="00607F"/>
          <w:kern w:val="24"/>
          <w:sz w:val="28"/>
          <w:szCs w:val="28"/>
        </w:rPr>
      </w:pPr>
      <w:r w:rsidRPr="00060F36">
        <w:rPr>
          <w:rFonts w:ascii="Times New Roman" w:eastAsia="+mn-ea" w:hAnsi="Times New Roman" w:cs="Times New Roman"/>
          <w:bCs/>
          <w:i/>
          <w:color w:val="00607F"/>
          <w:kern w:val="24"/>
          <w:sz w:val="28"/>
          <w:szCs w:val="28"/>
        </w:rPr>
        <w:t xml:space="preserve">Priority </w:t>
      </w:r>
    </w:p>
    <w:p w:rsidR="00060F36" w:rsidRDefault="00060F36" w:rsidP="00CE34E0">
      <w:pPr>
        <w:spacing w:after="0" w:line="240" w:lineRule="auto"/>
        <w:jc w:val="both"/>
      </w:pPr>
      <w:r>
        <w:t>For the receipt of training services, local areas must give priority to recipients of public assistance, other low-income individuals, and individuals who are basic skills deficient.</w:t>
      </w:r>
    </w:p>
    <w:p w:rsidR="00060F36" w:rsidRDefault="00060F36" w:rsidP="00CE34E0">
      <w:pPr>
        <w:spacing w:after="0" w:line="240" w:lineRule="auto"/>
        <w:jc w:val="both"/>
      </w:pPr>
    </w:p>
    <w:p w:rsidR="00060F36" w:rsidRDefault="00060F36" w:rsidP="00CE34E0">
      <w:pPr>
        <w:spacing w:after="0" w:line="240" w:lineRule="auto"/>
        <w:jc w:val="both"/>
        <w:rPr>
          <w:rFonts w:eastAsia="+mn-ea" w:cs="Times New Roman"/>
          <w:b/>
          <w:bCs/>
          <w:color w:val="00607F"/>
          <w:kern w:val="24"/>
          <w:sz w:val="28"/>
          <w:szCs w:val="28"/>
          <w:u w:val="single"/>
        </w:rPr>
      </w:pPr>
      <w:r>
        <w:rPr>
          <w:b/>
          <w:bCs/>
        </w:rPr>
        <w:t>Public assistance –</w:t>
      </w:r>
      <w:r>
        <w:t>Section 3(50) of WIOA defines public assistance as Federal, state, or local government cash payments for which eligibility is determined by a needs or income test.</w:t>
      </w:r>
    </w:p>
    <w:p w:rsidR="000361E1" w:rsidRDefault="000361E1" w:rsidP="00CE34E0">
      <w:pPr>
        <w:spacing w:after="0" w:line="240" w:lineRule="auto"/>
        <w:jc w:val="both"/>
        <w:rPr>
          <w:rFonts w:eastAsia="+mn-ea" w:cs="Times New Roman"/>
          <w:b/>
          <w:bCs/>
          <w:color w:val="00607F"/>
          <w:kern w:val="24"/>
          <w:sz w:val="28"/>
          <w:szCs w:val="28"/>
          <w:u w:val="single"/>
        </w:rPr>
      </w:pPr>
    </w:p>
    <w:p w:rsidR="000361E1" w:rsidRPr="00060F36" w:rsidRDefault="00060F36" w:rsidP="00CE34E0">
      <w:pPr>
        <w:spacing w:after="0" w:line="240" w:lineRule="auto"/>
        <w:jc w:val="both"/>
        <w:rPr>
          <w:rFonts w:eastAsia="+mn-ea" w:cs="Times New Roman"/>
          <w:bCs/>
          <w:color w:val="00607F"/>
          <w:kern w:val="24"/>
          <w:sz w:val="28"/>
          <w:szCs w:val="28"/>
        </w:rPr>
      </w:pPr>
      <w:r w:rsidRPr="00060F36">
        <w:rPr>
          <w:rFonts w:eastAsia="+mn-ea" w:cs="Times New Roman"/>
          <w:bCs/>
          <w:color w:val="00607F"/>
          <w:kern w:val="24"/>
          <w:sz w:val="28"/>
          <w:szCs w:val="28"/>
        </w:rPr>
        <w:t>Permissible Employment and Training Activities</w:t>
      </w:r>
    </w:p>
    <w:p w:rsidR="00060F36" w:rsidRPr="00060F36" w:rsidRDefault="00060F36" w:rsidP="00CE34E0">
      <w:pPr>
        <w:pStyle w:val="Default"/>
        <w:jc w:val="both"/>
        <w:rPr>
          <w:rFonts w:ascii="Times New Roman" w:hAnsi="Times New Roman" w:cs="Times New Roman"/>
          <w:sz w:val="22"/>
          <w:szCs w:val="22"/>
        </w:rPr>
      </w:pPr>
      <w:r w:rsidRPr="00060F36">
        <w:rPr>
          <w:rFonts w:ascii="Times New Roman" w:hAnsi="Times New Roman" w:cs="Times New Roman"/>
          <w:sz w:val="22"/>
          <w:szCs w:val="22"/>
        </w:rPr>
        <w:t xml:space="preserve">In addition to the required career and training activities, local areas may provide: </w:t>
      </w:r>
    </w:p>
    <w:p w:rsidR="00060F36" w:rsidRPr="00060F36" w:rsidRDefault="00060F36" w:rsidP="00CE34E0">
      <w:pPr>
        <w:pStyle w:val="Default"/>
        <w:jc w:val="both"/>
        <w:rPr>
          <w:rFonts w:ascii="Times New Roman" w:hAnsi="Times New Roman" w:cs="Times New Roman"/>
          <w:sz w:val="22"/>
          <w:szCs w:val="22"/>
        </w:rPr>
      </w:pP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Customized screening and referral of qualified participants in training services to employers; </w:t>
      </w: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Customized employment-related services to employers, employer associations, or other such organizations on a fee-for-service basis; </w:t>
      </w: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Implementation of a pay-for-performance contract strategy for training services, for which the local board may reserve and use not more than 10 percent of the total adult or dislocated worker funds allocated to the local area; </w:t>
      </w: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Customer support to enable individuals with barriers to employment (including individuals with disabilities) and veterans, to navigate among multiple services and activities for such populations; </w:t>
      </w: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Technical assistance for One-Stop operators, One-Stop partners, and eligible providers of training services, regarding the provision of services to individuals with disabilities in local areas, including the development and training of staff, the provision of outreach, intake, assessments, and service delivery, the coordination of services across providers and programs, and the development of performance accountability measures; </w:t>
      </w:r>
    </w:p>
    <w:p w:rsidR="00060F36" w:rsidRPr="00060F36" w:rsidRDefault="00060F36" w:rsidP="00CE34E0">
      <w:pPr>
        <w:pStyle w:val="ListParagraph"/>
        <w:numPr>
          <w:ilvl w:val="0"/>
          <w:numId w:val="14"/>
        </w:numPr>
        <w:spacing w:after="0" w:line="240" w:lineRule="auto"/>
        <w:jc w:val="both"/>
        <w:rPr>
          <w:rFonts w:eastAsia="+mn-ea" w:cs="Times New Roman"/>
          <w:b/>
          <w:bCs/>
          <w:color w:val="00607F"/>
          <w:kern w:val="24"/>
          <w:sz w:val="28"/>
          <w:szCs w:val="28"/>
          <w:u w:val="single"/>
        </w:rPr>
      </w:pPr>
      <w:r w:rsidRPr="00060F36">
        <w:rPr>
          <w:rFonts w:cs="Times New Roman"/>
        </w:rPr>
        <w:t>Employment and training activities provided in coordination with—</w:t>
      </w:r>
    </w:p>
    <w:p w:rsidR="00060F36" w:rsidRPr="00060F36" w:rsidRDefault="00060F36" w:rsidP="00CE34E0">
      <w:pPr>
        <w:pStyle w:val="ListParagraph"/>
        <w:numPr>
          <w:ilvl w:val="1"/>
          <w:numId w:val="14"/>
        </w:numPr>
        <w:spacing w:after="0" w:line="240" w:lineRule="auto"/>
        <w:jc w:val="both"/>
        <w:rPr>
          <w:rFonts w:eastAsia="+mn-ea" w:cs="Times New Roman"/>
          <w:b/>
          <w:bCs/>
          <w:color w:val="00607F"/>
          <w:kern w:val="24"/>
          <w:sz w:val="28"/>
          <w:szCs w:val="28"/>
          <w:u w:val="single"/>
        </w:rPr>
      </w:pPr>
      <w:r w:rsidRPr="00060F36">
        <w:rPr>
          <w:rFonts w:cs="Times New Roman"/>
        </w:rPr>
        <w:t xml:space="preserve">Child support enforcement activities of the State and local agencies carrying out part D of Title IV of the Social Security Act (42 U.S.C. 651 et seq.); </w:t>
      </w:r>
    </w:p>
    <w:p w:rsidR="00060F36" w:rsidRPr="00060F36" w:rsidRDefault="00060F36" w:rsidP="00CE34E0">
      <w:pPr>
        <w:pStyle w:val="ListParagraph"/>
        <w:numPr>
          <w:ilvl w:val="1"/>
          <w:numId w:val="14"/>
        </w:numPr>
        <w:spacing w:after="0" w:line="240" w:lineRule="auto"/>
        <w:jc w:val="both"/>
        <w:rPr>
          <w:rFonts w:eastAsia="+mn-ea" w:cs="Times New Roman"/>
          <w:b/>
          <w:bCs/>
          <w:color w:val="00607F"/>
          <w:kern w:val="24"/>
          <w:sz w:val="28"/>
          <w:szCs w:val="28"/>
          <w:u w:val="single"/>
        </w:rPr>
      </w:pPr>
      <w:r w:rsidRPr="00060F36">
        <w:rPr>
          <w:rFonts w:cs="Times New Roman"/>
        </w:rPr>
        <w:t xml:space="preserve">Child support services, and assistance, provided by State and local agencies carrying out part D of Title IV of the Social Security Act (42 U.S.C. 651 et seq.); </w:t>
      </w:r>
    </w:p>
    <w:p w:rsidR="00060F36" w:rsidRPr="00060F36" w:rsidRDefault="00060F36" w:rsidP="00CE34E0">
      <w:pPr>
        <w:pStyle w:val="ListParagraph"/>
        <w:numPr>
          <w:ilvl w:val="1"/>
          <w:numId w:val="14"/>
        </w:numPr>
        <w:spacing w:after="0" w:line="240" w:lineRule="auto"/>
        <w:jc w:val="both"/>
        <w:rPr>
          <w:rFonts w:eastAsia="+mn-ea" w:cs="Times New Roman"/>
          <w:b/>
          <w:bCs/>
          <w:color w:val="00607F"/>
          <w:kern w:val="24"/>
          <w:sz w:val="28"/>
          <w:szCs w:val="28"/>
          <w:u w:val="single"/>
        </w:rPr>
      </w:pPr>
      <w:r w:rsidRPr="00060F36">
        <w:rPr>
          <w:rFonts w:cs="Times New Roman"/>
        </w:rPr>
        <w:t xml:space="preserve">Cooperative extension programs carried out by the Department of Agriculture; and </w:t>
      </w:r>
    </w:p>
    <w:p w:rsidR="00060F36" w:rsidRPr="00060F36" w:rsidRDefault="00060F36" w:rsidP="00CE34E0">
      <w:pPr>
        <w:pStyle w:val="ListParagraph"/>
        <w:numPr>
          <w:ilvl w:val="1"/>
          <w:numId w:val="14"/>
        </w:numPr>
        <w:spacing w:after="0" w:line="240" w:lineRule="auto"/>
        <w:jc w:val="both"/>
        <w:rPr>
          <w:rFonts w:eastAsia="+mn-ea" w:cs="Times New Roman"/>
          <w:b/>
          <w:bCs/>
          <w:color w:val="00607F"/>
          <w:kern w:val="24"/>
          <w:sz w:val="28"/>
          <w:szCs w:val="28"/>
          <w:u w:val="single"/>
        </w:rPr>
      </w:pPr>
      <w:r w:rsidRPr="00060F36">
        <w:rPr>
          <w:rFonts w:cs="Times New Roman"/>
        </w:rPr>
        <w:t>Activities to facilitate remote access to services provided through a One-Stop delivery system, including facilitating access through the use of technology;</w:t>
      </w:r>
    </w:p>
    <w:p w:rsidR="00060F36" w:rsidRPr="00060F36" w:rsidRDefault="00060F36" w:rsidP="00CE34E0">
      <w:pPr>
        <w:pStyle w:val="Default"/>
        <w:numPr>
          <w:ilvl w:val="0"/>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Activities— </w:t>
      </w:r>
    </w:p>
    <w:p w:rsidR="00060F36" w:rsidRPr="00060F36" w:rsidRDefault="00060F36" w:rsidP="00CE34E0">
      <w:pPr>
        <w:pStyle w:val="Default"/>
        <w:numPr>
          <w:ilvl w:val="1"/>
          <w:numId w:val="14"/>
        </w:numPr>
        <w:jc w:val="both"/>
        <w:rPr>
          <w:rFonts w:ascii="Times New Roman" w:hAnsi="Times New Roman" w:cs="Times New Roman"/>
          <w:sz w:val="22"/>
          <w:szCs w:val="22"/>
        </w:rPr>
      </w:pPr>
      <w:r w:rsidRPr="00060F36">
        <w:rPr>
          <w:rFonts w:ascii="Times New Roman" w:hAnsi="Times New Roman" w:cs="Times New Roman"/>
          <w:sz w:val="22"/>
          <w:szCs w:val="22"/>
        </w:rPr>
        <w:t xml:space="preserve">To improve coordination between workforce development activities and economic development activities carried out within the local area involved, and to promote entrepreneurial skills training and microenterprise services; </w:t>
      </w:r>
    </w:p>
    <w:p w:rsidR="00060F36" w:rsidRPr="00060F36" w:rsidRDefault="00060F36" w:rsidP="00CE34E0">
      <w:pPr>
        <w:pStyle w:val="Default"/>
        <w:numPr>
          <w:ilvl w:val="1"/>
          <w:numId w:val="14"/>
        </w:numPr>
        <w:jc w:val="both"/>
        <w:rPr>
          <w:rFonts w:ascii="Times New Roman" w:hAnsi="Times New Roman" w:cs="Times New Roman"/>
          <w:sz w:val="22"/>
          <w:szCs w:val="22"/>
        </w:rPr>
      </w:pPr>
      <w:r w:rsidRPr="00060F36">
        <w:rPr>
          <w:rFonts w:ascii="Times New Roman" w:hAnsi="Times New Roman" w:cs="Times New Roman"/>
        </w:rPr>
        <w:t xml:space="preserve">To improve services and linkages between the local workforce development system (including the local One-Stop delivery system) and employers, including </w:t>
      </w:r>
      <w:r w:rsidRPr="00060F36">
        <w:rPr>
          <w:rFonts w:ascii="Times New Roman" w:hAnsi="Times New Roman" w:cs="Times New Roman"/>
          <w:sz w:val="22"/>
          <w:szCs w:val="22"/>
        </w:rPr>
        <w:t>small employers, in the local area, through services described in this Section; and</w:t>
      </w:r>
    </w:p>
    <w:p w:rsidR="00060F36" w:rsidRPr="00060F36" w:rsidRDefault="00060F36" w:rsidP="00CE34E0">
      <w:pPr>
        <w:pStyle w:val="Default"/>
        <w:numPr>
          <w:ilvl w:val="1"/>
          <w:numId w:val="14"/>
        </w:numPr>
        <w:jc w:val="both"/>
        <w:rPr>
          <w:rFonts w:ascii="Times New Roman" w:hAnsi="Times New Roman" w:cs="Times New Roman"/>
          <w:sz w:val="22"/>
          <w:szCs w:val="22"/>
        </w:rPr>
      </w:pPr>
      <w:r w:rsidRPr="00060F36">
        <w:rPr>
          <w:rFonts w:ascii="Times New Roman" w:hAnsi="Times New Roman" w:cs="Times New Roman"/>
          <w:sz w:val="22"/>
          <w:szCs w:val="22"/>
        </w:rPr>
        <w:t>To strengthen linkages between the One-Stop delivery system and unemployment insurance programs;</w:t>
      </w:r>
    </w:p>
    <w:p w:rsidR="000361E1" w:rsidRPr="00750CEC" w:rsidRDefault="000361E1" w:rsidP="00CE34E0">
      <w:pPr>
        <w:spacing w:after="0" w:line="240" w:lineRule="auto"/>
        <w:jc w:val="both"/>
        <w:rPr>
          <w:rFonts w:eastAsia="+mn-ea" w:cs="Times New Roman"/>
          <w:b/>
          <w:bCs/>
          <w:color w:val="00607F"/>
          <w:kern w:val="24"/>
          <w:sz w:val="28"/>
          <w:szCs w:val="28"/>
          <w:u w:val="single"/>
        </w:rPr>
      </w:pPr>
    </w:p>
    <w:p w:rsidR="00A44BD2" w:rsidRPr="00A44BD2" w:rsidRDefault="00A44BD2" w:rsidP="00CE34E0">
      <w:pPr>
        <w:pStyle w:val="Default"/>
        <w:numPr>
          <w:ilvl w:val="0"/>
          <w:numId w:val="14"/>
        </w:numPr>
        <w:jc w:val="both"/>
        <w:rPr>
          <w:rFonts w:ascii="Times New Roman" w:hAnsi="Times New Roman" w:cs="Times New Roman"/>
          <w:sz w:val="22"/>
          <w:szCs w:val="22"/>
        </w:rPr>
      </w:pPr>
      <w:r w:rsidRPr="00A44BD2">
        <w:rPr>
          <w:rFonts w:ascii="Times New Roman" w:hAnsi="Times New Roman" w:cs="Times New Roman"/>
          <w:sz w:val="22"/>
          <w:szCs w:val="22"/>
        </w:rPr>
        <w:t xml:space="preserve">Training programs for displaced homemakers and for individuals training for nontraditional occupations, in conjunction with programs operated in the local area; </w:t>
      </w:r>
    </w:p>
    <w:p w:rsidR="00A44BD2" w:rsidRPr="00A44BD2" w:rsidRDefault="00A44BD2" w:rsidP="00CE34E0">
      <w:pPr>
        <w:pStyle w:val="ListParagraph"/>
        <w:numPr>
          <w:ilvl w:val="0"/>
          <w:numId w:val="14"/>
        </w:numPr>
        <w:spacing w:after="0" w:line="240" w:lineRule="auto"/>
        <w:jc w:val="both"/>
        <w:rPr>
          <w:rFonts w:eastAsia="+mn-ea" w:cs="Times New Roman"/>
          <w:bCs/>
          <w:color w:val="00607F"/>
          <w:kern w:val="24"/>
          <w:sz w:val="28"/>
          <w:szCs w:val="28"/>
        </w:rPr>
      </w:pPr>
      <w:r w:rsidRPr="00A44BD2">
        <w:rPr>
          <w:rFonts w:cs="Times New Roman"/>
        </w:rPr>
        <w:t>Activities to provide business services and strategies that meet the workforce development needs of area employers, as determined by the local board, consis</w:t>
      </w:r>
      <w:r>
        <w:rPr>
          <w:rFonts w:cs="Times New Roman"/>
        </w:rPr>
        <w:t xml:space="preserve">tent with the local plan, which </w:t>
      </w:r>
      <w:r w:rsidRPr="00A44BD2">
        <w:rPr>
          <w:rFonts w:cs="Times New Roman"/>
        </w:rPr>
        <w:t>services—</w:t>
      </w:r>
    </w:p>
    <w:p w:rsidR="00A44BD2" w:rsidRPr="00A44BD2" w:rsidRDefault="00A44BD2" w:rsidP="00CE34E0">
      <w:pPr>
        <w:pStyle w:val="ListParagraph"/>
        <w:numPr>
          <w:ilvl w:val="1"/>
          <w:numId w:val="14"/>
        </w:numPr>
        <w:spacing w:after="0" w:line="240" w:lineRule="auto"/>
        <w:jc w:val="both"/>
        <w:rPr>
          <w:rFonts w:eastAsia="+mn-ea" w:cs="Times New Roman"/>
          <w:bCs/>
          <w:color w:val="00607F"/>
          <w:kern w:val="24"/>
          <w:sz w:val="28"/>
          <w:szCs w:val="28"/>
        </w:rPr>
      </w:pPr>
      <w:r>
        <w:t>May be provided through effective business intermediaries working in conjunction with the local board, and may also be provided on a fee-for-service basis or through the leveraging of economic development, philanthropic, and other public and private resources in a manner determined appropriate by the local board; and</w:t>
      </w:r>
    </w:p>
    <w:p w:rsidR="00A44BD2" w:rsidRPr="00A44BD2" w:rsidRDefault="00A44BD2" w:rsidP="00CE34E0">
      <w:pPr>
        <w:pStyle w:val="ListParagraph"/>
        <w:numPr>
          <w:ilvl w:val="1"/>
          <w:numId w:val="14"/>
        </w:numPr>
        <w:spacing w:after="0" w:line="240" w:lineRule="auto"/>
        <w:jc w:val="both"/>
        <w:rPr>
          <w:rFonts w:eastAsia="+mn-ea" w:cs="Times New Roman"/>
          <w:bCs/>
          <w:color w:val="00607F"/>
          <w:kern w:val="24"/>
          <w:sz w:val="28"/>
          <w:szCs w:val="28"/>
        </w:rPr>
      </w:pPr>
      <w:r w:rsidRPr="00A44BD2">
        <w:t xml:space="preserve">May include— </w:t>
      </w:r>
    </w:p>
    <w:p w:rsidR="00A44BD2" w:rsidRPr="00A44BD2" w:rsidRDefault="00A44BD2" w:rsidP="00CE34E0">
      <w:pPr>
        <w:pStyle w:val="ListParagraph"/>
        <w:numPr>
          <w:ilvl w:val="2"/>
          <w:numId w:val="14"/>
        </w:numPr>
        <w:spacing w:after="0" w:line="240" w:lineRule="auto"/>
        <w:jc w:val="both"/>
        <w:rPr>
          <w:rFonts w:eastAsia="+mn-ea" w:cs="Times New Roman"/>
          <w:bCs/>
          <w:color w:val="00607F"/>
          <w:kern w:val="24"/>
          <w:sz w:val="28"/>
          <w:szCs w:val="28"/>
        </w:rPr>
      </w:pPr>
      <w:r w:rsidRPr="00A44BD2">
        <w:t xml:space="preserve">Developing and implementing industry sector strategies (including strategies involving industry partnerships, regional skills alliances, industry skill panels, and sectoral skills partnerships); </w:t>
      </w:r>
    </w:p>
    <w:p w:rsidR="00A44BD2" w:rsidRPr="00A44BD2" w:rsidRDefault="00A44BD2" w:rsidP="00CE34E0">
      <w:pPr>
        <w:pStyle w:val="ListParagraph"/>
        <w:numPr>
          <w:ilvl w:val="2"/>
          <w:numId w:val="14"/>
        </w:numPr>
        <w:spacing w:after="0" w:line="240" w:lineRule="auto"/>
        <w:jc w:val="both"/>
        <w:rPr>
          <w:rFonts w:eastAsia="+mn-ea" w:cs="Times New Roman"/>
          <w:bCs/>
          <w:color w:val="00607F"/>
          <w:kern w:val="24"/>
          <w:sz w:val="28"/>
          <w:szCs w:val="28"/>
        </w:rPr>
      </w:pPr>
      <w:r w:rsidRPr="00A44BD2">
        <w:t xml:space="preserve">Developing and delivering innovative workforce development services and strategies for area employers, which may include career pathways, skills upgrading, skill standard development and certification for recognized postsecondary credential or other employer use, apprenticeship, and other effective initiatives for meeting the workforce development needs of area employers and workers; </w:t>
      </w:r>
    </w:p>
    <w:p w:rsidR="00A44BD2" w:rsidRPr="00A44BD2" w:rsidRDefault="00A44BD2" w:rsidP="00CE34E0">
      <w:pPr>
        <w:pStyle w:val="ListParagraph"/>
        <w:numPr>
          <w:ilvl w:val="2"/>
          <w:numId w:val="14"/>
        </w:numPr>
        <w:spacing w:after="0" w:line="240" w:lineRule="auto"/>
        <w:jc w:val="both"/>
        <w:rPr>
          <w:rFonts w:eastAsia="+mn-ea" w:cs="Times New Roman"/>
          <w:bCs/>
          <w:color w:val="00607F"/>
          <w:kern w:val="24"/>
          <w:sz w:val="28"/>
          <w:szCs w:val="28"/>
        </w:rPr>
      </w:pPr>
      <w:r w:rsidRPr="00A44BD2">
        <w:t xml:space="preserve">Assistance to area employers in managing reductions in force in coordination with rapid response activities and with strategies for the aversion of layoffs, which strategies may include early identification of firms at risk of layoffs, use of feasibility studies to assess the needs of and options for at-risk firms, and the delivery of employment and training activities to address risk factors; and </w:t>
      </w:r>
    </w:p>
    <w:p w:rsidR="00A44BD2" w:rsidRPr="00A44BD2" w:rsidRDefault="00A44BD2" w:rsidP="00CE34E0">
      <w:pPr>
        <w:pStyle w:val="ListParagraph"/>
        <w:numPr>
          <w:ilvl w:val="2"/>
          <w:numId w:val="14"/>
        </w:numPr>
        <w:spacing w:after="0" w:line="240" w:lineRule="auto"/>
        <w:jc w:val="both"/>
        <w:rPr>
          <w:rFonts w:eastAsia="+mn-ea" w:cs="Times New Roman"/>
          <w:bCs/>
          <w:color w:val="00607F"/>
          <w:kern w:val="24"/>
          <w:sz w:val="28"/>
          <w:szCs w:val="28"/>
        </w:rPr>
      </w:pPr>
      <w:r>
        <w:t>The marketing of business services offered under this Title, to appropriate area employers, including small and mid-sized employers;</w:t>
      </w:r>
    </w:p>
    <w:p w:rsidR="00A44BD2" w:rsidRDefault="00A44BD2" w:rsidP="00CE34E0">
      <w:pPr>
        <w:spacing w:after="0" w:line="240" w:lineRule="auto"/>
        <w:jc w:val="both"/>
        <w:rPr>
          <w:rFonts w:eastAsia="+mn-ea" w:cs="Times New Roman"/>
          <w:bCs/>
          <w:color w:val="00607F"/>
          <w:kern w:val="24"/>
          <w:sz w:val="28"/>
          <w:szCs w:val="28"/>
        </w:rPr>
      </w:pPr>
    </w:p>
    <w:p w:rsidR="00A44BD2" w:rsidRPr="00A44BD2" w:rsidRDefault="00A44BD2" w:rsidP="00CE34E0">
      <w:pPr>
        <w:pStyle w:val="Default"/>
        <w:numPr>
          <w:ilvl w:val="0"/>
          <w:numId w:val="14"/>
        </w:numPr>
        <w:jc w:val="both"/>
        <w:rPr>
          <w:rFonts w:ascii="Times New Roman" w:hAnsi="Times New Roman" w:cs="Times New Roman"/>
          <w:sz w:val="22"/>
          <w:szCs w:val="22"/>
        </w:rPr>
      </w:pPr>
      <w:r w:rsidRPr="00A44BD2">
        <w:rPr>
          <w:rFonts w:ascii="Times New Roman" w:hAnsi="Times New Roman" w:cs="Times New Roman"/>
          <w:sz w:val="22"/>
          <w:szCs w:val="22"/>
        </w:rPr>
        <w:t>Activities to adjust the economic self-sufficiency standards</w:t>
      </w:r>
      <w:r w:rsidRPr="00A44BD2">
        <w:rPr>
          <w:rFonts w:ascii="Times New Roman" w:hAnsi="Times New Roman" w:cs="Times New Roman"/>
          <w:sz w:val="14"/>
          <w:szCs w:val="14"/>
        </w:rPr>
        <w:t xml:space="preserve"> </w:t>
      </w:r>
      <w:r w:rsidRPr="00A44BD2">
        <w:rPr>
          <w:rStyle w:val="FootnoteReference"/>
          <w:rFonts w:ascii="Times New Roman" w:hAnsi="Times New Roman" w:cs="Times New Roman"/>
          <w:sz w:val="22"/>
          <w:szCs w:val="22"/>
        </w:rPr>
        <w:footnoteReference w:id="9"/>
      </w:r>
      <w:r w:rsidRPr="00A44BD2">
        <w:rPr>
          <w:rFonts w:ascii="Times New Roman" w:hAnsi="Times New Roman" w:cs="Times New Roman"/>
          <w:sz w:val="22"/>
          <w:szCs w:val="22"/>
        </w:rPr>
        <w:t xml:space="preserve">for local factors, or activities to adopt, calculate, or commission for approval, economic self-sufficiency standards for the local areas that specify the income needs of families, by family size, the number and ages of children in the family, and </w:t>
      </w:r>
      <w:proofErr w:type="spellStart"/>
      <w:r w:rsidRPr="00A44BD2">
        <w:rPr>
          <w:rFonts w:ascii="Times New Roman" w:hAnsi="Times New Roman" w:cs="Times New Roman"/>
          <w:sz w:val="22"/>
          <w:szCs w:val="22"/>
        </w:rPr>
        <w:t>substate</w:t>
      </w:r>
      <w:proofErr w:type="spellEnd"/>
      <w:r w:rsidRPr="00A44BD2">
        <w:rPr>
          <w:rFonts w:ascii="Times New Roman" w:hAnsi="Times New Roman" w:cs="Times New Roman"/>
          <w:sz w:val="22"/>
          <w:szCs w:val="22"/>
        </w:rPr>
        <w:t xml:space="preserve"> geographical considerations; </w:t>
      </w:r>
    </w:p>
    <w:p w:rsidR="00A44BD2" w:rsidRPr="00A44BD2" w:rsidRDefault="00A44BD2" w:rsidP="00CE34E0">
      <w:pPr>
        <w:pStyle w:val="Default"/>
        <w:numPr>
          <w:ilvl w:val="0"/>
          <w:numId w:val="14"/>
        </w:numPr>
        <w:jc w:val="both"/>
        <w:rPr>
          <w:rFonts w:ascii="Times New Roman" w:hAnsi="Times New Roman" w:cs="Times New Roman"/>
          <w:sz w:val="22"/>
          <w:szCs w:val="22"/>
        </w:rPr>
      </w:pPr>
      <w:r w:rsidRPr="00A44BD2">
        <w:rPr>
          <w:rFonts w:ascii="Times New Roman" w:hAnsi="Times New Roman" w:cs="Times New Roman"/>
          <w:sz w:val="22"/>
          <w:szCs w:val="22"/>
        </w:rPr>
        <w:t>Improved coordination between employment and training activities and programs carried out in the local area for individuals with disabilities, including programs carried out by State agencies relating to intellectual disabilities and developmental disabilities, activities carried out by Statewide Independent Living Councils established under Section 705 of the Rehabilitation Act of 1973 (29 U.S.C. 796d), programs funded under part B of chapter 1 of Title VII of such Act (29 U.S.C. 796e et seq.), and activities carried out by centers for independent living, as defined in Section 702 of such Act (29 U.S.C. 796a); and</w:t>
      </w:r>
    </w:p>
    <w:p w:rsidR="00A44BD2" w:rsidRPr="00A44BD2" w:rsidRDefault="00A44BD2" w:rsidP="00CE34E0">
      <w:pPr>
        <w:pStyle w:val="Default"/>
        <w:numPr>
          <w:ilvl w:val="0"/>
          <w:numId w:val="14"/>
        </w:numPr>
        <w:jc w:val="both"/>
        <w:rPr>
          <w:rFonts w:ascii="Times New Roman" w:hAnsi="Times New Roman" w:cs="Times New Roman"/>
          <w:sz w:val="22"/>
          <w:szCs w:val="22"/>
        </w:rPr>
      </w:pPr>
      <w:r w:rsidRPr="00A44BD2">
        <w:rPr>
          <w:rFonts w:ascii="Times New Roman" w:hAnsi="Times New Roman" w:cs="Times New Roman"/>
          <w:sz w:val="22"/>
          <w:szCs w:val="22"/>
        </w:rPr>
        <w:t>Implementation of promising services to workers and businesses, which may include support for education, training, skill upgrading, and statewide networking for employees to become workplace learning advisors and maintain proficiency in carrying out the activities associated with such advising.</w:t>
      </w:r>
      <w:r w:rsidRPr="00A44BD2">
        <w:rPr>
          <w:rStyle w:val="FootnoteReference"/>
          <w:rFonts w:ascii="Times New Roman" w:hAnsi="Times New Roman" w:cs="Times New Roman"/>
          <w:sz w:val="22"/>
          <w:szCs w:val="22"/>
        </w:rPr>
        <w:footnoteReference w:id="10"/>
      </w:r>
    </w:p>
    <w:p w:rsidR="00A44BD2" w:rsidRDefault="00A44BD2" w:rsidP="00CE34E0">
      <w:pPr>
        <w:pStyle w:val="Default"/>
        <w:jc w:val="both"/>
        <w:rPr>
          <w:sz w:val="22"/>
          <w:szCs w:val="22"/>
        </w:rPr>
      </w:pPr>
    </w:p>
    <w:p w:rsidR="00A44BD2" w:rsidRDefault="00A44BD2" w:rsidP="00CE34E0">
      <w:pPr>
        <w:pStyle w:val="Default"/>
        <w:jc w:val="both"/>
        <w:rPr>
          <w:sz w:val="22"/>
          <w:szCs w:val="22"/>
        </w:rPr>
      </w:pPr>
    </w:p>
    <w:p w:rsidR="00A44BD2" w:rsidRDefault="00A44BD2" w:rsidP="00CE34E0">
      <w:pPr>
        <w:pStyle w:val="Default"/>
        <w:jc w:val="both"/>
        <w:rPr>
          <w:sz w:val="22"/>
          <w:szCs w:val="22"/>
        </w:rPr>
      </w:pPr>
    </w:p>
    <w:p w:rsidR="00A44BD2" w:rsidRPr="00A44BD2" w:rsidRDefault="00A44BD2" w:rsidP="00CE34E0">
      <w:pPr>
        <w:pStyle w:val="Default"/>
        <w:jc w:val="both"/>
        <w:rPr>
          <w:rFonts w:ascii="Times New Roman" w:eastAsia="+mn-ea" w:hAnsi="Times New Roman" w:cs="Times New Roman"/>
          <w:bCs/>
          <w:color w:val="00607F"/>
          <w:kern w:val="24"/>
          <w:sz w:val="28"/>
          <w:szCs w:val="28"/>
        </w:rPr>
      </w:pPr>
      <w:r w:rsidRPr="00A44BD2">
        <w:rPr>
          <w:rFonts w:ascii="Times New Roman" w:eastAsia="+mn-ea" w:hAnsi="Times New Roman" w:cs="Times New Roman"/>
          <w:bCs/>
          <w:color w:val="00607F"/>
          <w:kern w:val="24"/>
          <w:sz w:val="28"/>
          <w:szCs w:val="28"/>
        </w:rPr>
        <w:t xml:space="preserve">Rule of Construction </w:t>
      </w:r>
    </w:p>
    <w:p w:rsidR="00A44BD2" w:rsidRDefault="00A44BD2" w:rsidP="00CE34E0">
      <w:pPr>
        <w:pStyle w:val="Default"/>
        <w:jc w:val="both"/>
        <w:rPr>
          <w:rFonts w:ascii="Times New Roman" w:eastAsia="Times New Roman" w:hAnsi="Times New Roman" w:cs="Times New Roman"/>
          <w:color w:val="auto"/>
          <w:sz w:val="22"/>
          <w:szCs w:val="22"/>
        </w:rPr>
      </w:pPr>
      <w:r w:rsidRPr="00A44BD2">
        <w:rPr>
          <w:rFonts w:ascii="Times New Roman" w:eastAsia="Times New Roman" w:hAnsi="Times New Roman" w:cs="Times New Roman"/>
          <w:color w:val="auto"/>
          <w:sz w:val="22"/>
          <w:szCs w:val="22"/>
        </w:rPr>
        <w:t>Nothing in this policy or in WIOA should be construed to mean an individual is required to receive career services prior to receiving training services.</w:t>
      </w:r>
      <w:r w:rsidRPr="00A44BD2">
        <w:rPr>
          <w:rFonts w:ascii="Times New Roman" w:eastAsia="Times New Roman" w:hAnsi="Times New Roman" w:cs="Times New Roman"/>
          <w:color w:val="auto"/>
          <w:sz w:val="16"/>
          <w:szCs w:val="16"/>
        </w:rPr>
        <w:footnoteReference w:id="11"/>
      </w:r>
    </w:p>
    <w:p w:rsidR="00A44BD2" w:rsidRDefault="00A44BD2" w:rsidP="00CE34E0">
      <w:pPr>
        <w:pStyle w:val="Default"/>
        <w:jc w:val="both"/>
        <w:rPr>
          <w:rFonts w:ascii="Times New Roman" w:eastAsia="Times New Roman" w:hAnsi="Times New Roman" w:cs="Times New Roman"/>
          <w:color w:val="auto"/>
          <w:sz w:val="22"/>
          <w:szCs w:val="22"/>
        </w:rPr>
      </w:pPr>
    </w:p>
    <w:p w:rsidR="00A44BD2" w:rsidRPr="00A44BD2" w:rsidRDefault="00A44BD2" w:rsidP="00CE34E0">
      <w:pPr>
        <w:pStyle w:val="Default"/>
        <w:jc w:val="both"/>
        <w:rPr>
          <w:rFonts w:ascii="Times New Roman" w:eastAsia="+mn-ea" w:hAnsi="Times New Roman" w:cs="Times New Roman"/>
          <w:bCs/>
          <w:color w:val="00607F"/>
          <w:kern w:val="24"/>
          <w:sz w:val="28"/>
          <w:szCs w:val="28"/>
        </w:rPr>
      </w:pPr>
      <w:r w:rsidRPr="00A44BD2">
        <w:rPr>
          <w:rFonts w:ascii="Times New Roman" w:eastAsia="+mn-ea" w:hAnsi="Times New Roman" w:cs="Times New Roman"/>
          <w:bCs/>
          <w:color w:val="00607F"/>
          <w:kern w:val="24"/>
          <w:sz w:val="28"/>
          <w:szCs w:val="28"/>
        </w:rPr>
        <w:t xml:space="preserve">Work Support Activities for Low-Wage Workers </w:t>
      </w:r>
    </w:p>
    <w:p w:rsidR="00A44BD2" w:rsidRPr="00A44BD2" w:rsidRDefault="00A44BD2" w:rsidP="00CE34E0">
      <w:pPr>
        <w:pStyle w:val="Default"/>
        <w:jc w:val="both"/>
        <w:rPr>
          <w:rFonts w:ascii="Times New Roman" w:eastAsia="+mn-ea" w:hAnsi="Times New Roman" w:cs="Times New Roman"/>
          <w:bCs/>
          <w:color w:val="00607F"/>
          <w:kern w:val="24"/>
          <w:sz w:val="28"/>
          <w:szCs w:val="28"/>
        </w:rPr>
      </w:pPr>
    </w:p>
    <w:p w:rsidR="00A44BD2" w:rsidRPr="00A44BD2" w:rsidRDefault="00A44BD2" w:rsidP="00CE34E0">
      <w:pPr>
        <w:pStyle w:val="Default"/>
        <w:jc w:val="both"/>
        <w:rPr>
          <w:rFonts w:ascii="Times New Roman" w:eastAsia="Times New Roman" w:hAnsi="Times New Roman" w:cs="Times New Roman"/>
          <w:color w:val="auto"/>
          <w:sz w:val="22"/>
          <w:szCs w:val="22"/>
        </w:rPr>
      </w:pPr>
      <w:r w:rsidRPr="00A44BD2">
        <w:rPr>
          <w:rFonts w:ascii="Times New Roman" w:eastAsia="Times New Roman" w:hAnsi="Times New Roman" w:cs="Times New Roman"/>
          <w:color w:val="auto"/>
          <w:sz w:val="22"/>
          <w:szCs w:val="22"/>
        </w:rPr>
        <w:t>Funds for adults may be used to provide work support activities designed to assist low-wage workers in retaining and enhancing employment. The One-Stop partners of the system shall coordinate the appropriate programs and resources of the partners with the activities and resources provided under Section 134(d</w:t>
      </w:r>
      <w:proofErr w:type="gramStart"/>
      <w:r w:rsidRPr="00A44BD2">
        <w:rPr>
          <w:rFonts w:ascii="Times New Roman" w:eastAsia="Times New Roman" w:hAnsi="Times New Roman" w:cs="Times New Roman"/>
          <w:color w:val="auto"/>
          <w:sz w:val="22"/>
          <w:szCs w:val="22"/>
        </w:rPr>
        <w:t>)(</w:t>
      </w:r>
      <w:proofErr w:type="gramEnd"/>
      <w:r w:rsidRPr="00A44BD2">
        <w:rPr>
          <w:rFonts w:ascii="Times New Roman" w:eastAsia="Times New Roman" w:hAnsi="Times New Roman" w:cs="Times New Roman"/>
          <w:color w:val="auto"/>
          <w:sz w:val="22"/>
          <w:szCs w:val="22"/>
        </w:rPr>
        <w:t xml:space="preserve">1)(B) of WIOA [Work Support Activities for Low-Wage Workers]. </w:t>
      </w:r>
    </w:p>
    <w:p w:rsidR="00A44BD2" w:rsidRPr="00A44BD2" w:rsidRDefault="00A44BD2" w:rsidP="00CE34E0">
      <w:pPr>
        <w:pStyle w:val="Default"/>
        <w:jc w:val="both"/>
        <w:rPr>
          <w:rFonts w:ascii="Times New Roman" w:eastAsia="Times New Roman" w:hAnsi="Times New Roman" w:cs="Times New Roman"/>
          <w:color w:val="auto"/>
          <w:sz w:val="22"/>
          <w:szCs w:val="22"/>
        </w:rPr>
      </w:pPr>
    </w:p>
    <w:p w:rsidR="00A44BD2" w:rsidRDefault="00A44BD2" w:rsidP="00CE34E0">
      <w:pPr>
        <w:pStyle w:val="Default"/>
        <w:jc w:val="both"/>
        <w:rPr>
          <w:rFonts w:ascii="Times New Roman" w:eastAsia="Times New Roman" w:hAnsi="Times New Roman" w:cs="Times New Roman"/>
          <w:color w:val="auto"/>
          <w:sz w:val="22"/>
          <w:szCs w:val="22"/>
        </w:rPr>
      </w:pPr>
      <w:r w:rsidRPr="00A44BD2">
        <w:rPr>
          <w:rFonts w:ascii="Times New Roman" w:eastAsia="Times New Roman" w:hAnsi="Times New Roman" w:cs="Times New Roman"/>
          <w:color w:val="auto"/>
          <w:sz w:val="22"/>
          <w:szCs w:val="22"/>
        </w:rPr>
        <w:t xml:space="preserve">These activities may include the provision of activities in a manner that enhances the opportunities of such worker to participate in the activities, such as the provision of activities described in this Section during nontraditional hours and the provision of onsite child care while such activities are being provided. </w:t>
      </w:r>
      <w:r>
        <w:rPr>
          <w:rStyle w:val="FootnoteReference"/>
          <w:rFonts w:ascii="Times New Roman" w:eastAsia="Times New Roman" w:hAnsi="Times New Roman" w:cs="Times New Roman"/>
          <w:color w:val="auto"/>
          <w:sz w:val="22"/>
          <w:szCs w:val="22"/>
        </w:rPr>
        <w:footnoteReference w:id="12"/>
      </w:r>
      <w:r w:rsidRPr="00A44BD2">
        <w:rPr>
          <w:rFonts w:ascii="Times New Roman" w:eastAsia="Times New Roman" w:hAnsi="Times New Roman" w:cs="Times New Roman"/>
          <w:color w:val="auto"/>
          <w:sz w:val="22"/>
          <w:szCs w:val="22"/>
        </w:rPr>
        <w:t>Work support activities may also include any activities available under the WIOA adult program in coordination with activities and resources available through partner programs.</w:t>
      </w:r>
      <w:r>
        <w:rPr>
          <w:rStyle w:val="FootnoteReference"/>
          <w:rFonts w:ascii="Times New Roman" w:eastAsia="Times New Roman" w:hAnsi="Times New Roman" w:cs="Times New Roman"/>
          <w:color w:val="auto"/>
          <w:sz w:val="22"/>
          <w:szCs w:val="22"/>
        </w:rPr>
        <w:footnoteReference w:id="13"/>
      </w:r>
    </w:p>
    <w:p w:rsidR="00A44BD2" w:rsidRDefault="00A44BD2" w:rsidP="00CE34E0">
      <w:pPr>
        <w:pStyle w:val="Default"/>
        <w:jc w:val="both"/>
        <w:rPr>
          <w:rFonts w:ascii="Times New Roman" w:eastAsia="Times New Roman" w:hAnsi="Times New Roman" w:cs="Times New Roman"/>
          <w:color w:val="auto"/>
          <w:sz w:val="22"/>
          <w:szCs w:val="22"/>
        </w:rPr>
      </w:pPr>
    </w:p>
    <w:p w:rsidR="00A44BD2" w:rsidRPr="00A44BD2" w:rsidRDefault="00A44BD2" w:rsidP="00CE34E0">
      <w:pPr>
        <w:pStyle w:val="Default"/>
        <w:jc w:val="both"/>
        <w:rPr>
          <w:rFonts w:ascii="Times New Roman" w:eastAsia="+mn-ea" w:hAnsi="Times New Roman" w:cs="Times New Roman"/>
          <w:bCs/>
          <w:color w:val="00607F"/>
          <w:kern w:val="24"/>
          <w:sz w:val="28"/>
          <w:szCs w:val="28"/>
          <w:u w:val="single"/>
        </w:rPr>
      </w:pPr>
      <w:r w:rsidRPr="00A44BD2">
        <w:rPr>
          <w:rFonts w:ascii="Times New Roman" w:eastAsia="+mn-ea" w:hAnsi="Times New Roman" w:cs="Times New Roman"/>
          <w:bCs/>
          <w:color w:val="00607F"/>
          <w:kern w:val="24"/>
          <w:sz w:val="28"/>
          <w:szCs w:val="28"/>
          <w:u w:val="single"/>
        </w:rPr>
        <w:t>Supportive Services</w:t>
      </w:r>
    </w:p>
    <w:p w:rsidR="00A44BD2" w:rsidRPr="00A44BD2" w:rsidRDefault="00A44BD2" w:rsidP="00CE34E0">
      <w:pPr>
        <w:pStyle w:val="Default"/>
        <w:jc w:val="both"/>
        <w:rPr>
          <w:rFonts w:ascii="Times New Roman" w:eastAsia="Times New Roman" w:hAnsi="Times New Roman" w:cs="Times New Roman"/>
          <w:color w:val="auto"/>
          <w:sz w:val="22"/>
          <w:szCs w:val="22"/>
        </w:rPr>
      </w:pPr>
    </w:p>
    <w:p w:rsidR="00A44BD2" w:rsidRPr="00A44BD2" w:rsidRDefault="00A44BD2" w:rsidP="00CE34E0">
      <w:pPr>
        <w:pStyle w:val="Default"/>
        <w:spacing w:after="254"/>
        <w:jc w:val="both"/>
        <w:rPr>
          <w:rFonts w:ascii="Times New Roman" w:eastAsia="Times New Roman" w:hAnsi="Times New Roman" w:cs="Times New Roman"/>
          <w:color w:val="auto"/>
          <w:sz w:val="22"/>
          <w:szCs w:val="22"/>
        </w:rPr>
      </w:pPr>
      <w:r w:rsidRPr="00A44BD2">
        <w:rPr>
          <w:rFonts w:ascii="Times New Roman" w:eastAsia="Times New Roman" w:hAnsi="Times New Roman" w:cs="Times New Roman"/>
          <w:color w:val="auto"/>
          <w:sz w:val="22"/>
          <w:szCs w:val="22"/>
        </w:rPr>
        <w:t xml:space="preserve">1. Are participating in programs with career or training activities; and </w:t>
      </w:r>
    </w:p>
    <w:p w:rsidR="00A44BD2" w:rsidRPr="00A44BD2" w:rsidRDefault="00A44BD2" w:rsidP="00CE34E0">
      <w:pPr>
        <w:pStyle w:val="Default"/>
        <w:jc w:val="both"/>
        <w:rPr>
          <w:rFonts w:ascii="Times New Roman" w:eastAsia="Times New Roman" w:hAnsi="Times New Roman" w:cs="Times New Roman"/>
          <w:color w:val="auto"/>
          <w:sz w:val="22"/>
          <w:szCs w:val="22"/>
        </w:rPr>
      </w:pPr>
      <w:r w:rsidRPr="00A44BD2">
        <w:rPr>
          <w:rFonts w:ascii="Times New Roman" w:eastAsia="Times New Roman" w:hAnsi="Times New Roman" w:cs="Times New Roman"/>
          <w:color w:val="auto"/>
          <w:sz w:val="22"/>
          <w:szCs w:val="22"/>
        </w:rPr>
        <w:t>2. Are unable to obtain such supportive services through other programs providing such services.</w:t>
      </w:r>
      <w:r>
        <w:rPr>
          <w:rStyle w:val="FootnoteReference"/>
          <w:rFonts w:ascii="Times New Roman" w:eastAsia="Times New Roman" w:hAnsi="Times New Roman" w:cs="Times New Roman"/>
          <w:color w:val="auto"/>
          <w:sz w:val="22"/>
          <w:szCs w:val="22"/>
        </w:rPr>
        <w:footnoteReference w:id="14"/>
      </w:r>
    </w:p>
    <w:p w:rsidR="00A44BD2" w:rsidRDefault="00A44BD2" w:rsidP="00CE34E0">
      <w:pPr>
        <w:spacing w:after="0" w:line="240" w:lineRule="auto"/>
        <w:jc w:val="both"/>
        <w:rPr>
          <w:rFonts w:eastAsia="+mn-ea" w:cs="Times New Roman"/>
          <w:bCs/>
          <w:color w:val="00607F"/>
          <w:kern w:val="24"/>
          <w:sz w:val="28"/>
          <w:szCs w:val="28"/>
        </w:rPr>
      </w:pPr>
    </w:p>
    <w:p w:rsidR="00A44BD2" w:rsidRDefault="00A44BD2" w:rsidP="00CE34E0">
      <w:pPr>
        <w:spacing w:after="0" w:line="240" w:lineRule="auto"/>
        <w:jc w:val="both"/>
        <w:rPr>
          <w:rFonts w:eastAsia="+mn-ea" w:cs="Times New Roman"/>
          <w:bCs/>
          <w:color w:val="00607F"/>
          <w:kern w:val="24"/>
          <w:sz w:val="28"/>
          <w:szCs w:val="28"/>
        </w:rPr>
      </w:pPr>
      <w:r>
        <w:rPr>
          <w:b/>
          <w:bCs/>
        </w:rPr>
        <w:t xml:space="preserve">Supportive Services Definition </w:t>
      </w:r>
      <w:r>
        <w:t>–Section 3(59) of WIOA defines supportive services as services such as transportation, child care, dependent care, housing, and needs-related payments, that are necessary to enable an individual to participate in activities authorized by WIOA.</w:t>
      </w:r>
    </w:p>
    <w:p w:rsidR="00A44BD2" w:rsidRPr="00A44BD2" w:rsidRDefault="00A44BD2" w:rsidP="00CE34E0">
      <w:pPr>
        <w:spacing w:after="0" w:line="240" w:lineRule="auto"/>
        <w:jc w:val="both"/>
        <w:rPr>
          <w:rFonts w:eastAsia="+mn-ea" w:cs="Times New Roman"/>
          <w:bCs/>
          <w:color w:val="00607F"/>
          <w:kern w:val="24"/>
        </w:rPr>
      </w:pPr>
    </w:p>
    <w:p w:rsidR="00A44BD2" w:rsidRPr="00A44BD2" w:rsidRDefault="00A44BD2" w:rsidP="00CE34E0">
      <w:pPr>
        <w:spacing w:after="0" w:line="240" w:lineRule="auto"/>
        <w:jc w:val="both"/>
        <w:rPr>
          <w:rFonts w:eastAsia="+mn-ea" w:cs="Times New Roman"/>
          <w:bCs/>
          <w:color w:val="00607F"/>
          <w:kern w:val="24"/>
        </w:rPr>
      </w:pPr>
      <w:r w:rsidRPr="00A44BD2">
        <w:rPr>
          <w:rFonts w:eastAsia="+mn-ea" w:cs="Times New Roman"/>
          <w:bCs/>
          <w:color w:val="00607F"/>
          <w:kern w:val="24"/>
        </w:rPr>
        <w:t>See the Supportive Services policy for additional information.</w:t>
      </w:r>
    </w:p>
    <w:p w:rsidR="00A44BD2" w:rsidRPr="00CB4E93" w:rsidRDefault="00A44BD2" w:rsidP="00CE34E0">
      <w:pPr>
        <w:spacing w:after="0" w:line="240" w:lineRule="auto"/>
        <w:jc w:val="both"/>
        <w:rPr>
          <w:rFonts w:eastAsia="+mn-ea" w:cs="Times New Roman"/>
          <w:bCs/>
          <w:color w:val="00607F"/>
          <w:kern w:val="24"/>
          <w:sz w:val="28"/>
          <w:szCs w:val="28"/>
          <w:u w:val="single"/>
        </w:rPr>
      </w:pPr>
    </w:p>
    <w:p w:rsidR="00CB4E93" w:rsidRPr="00CB4E93" w:rsidRDefault="00CB4E93" w:rsidP="00CE34E0">
      <w:pPr>
        <w:pStyle w:val="Default"/>
        <w:jc w:val="both"/>
        <w:rPr>
          <w:rFonts w:ascii="Times New Roman" w:eastAsia="+mn-ea" w:hAnsi="Times New Roman" w:cs="Times New Roman"/>
          <w:bCs/>
          <w:color w:val="00607F"/>
          <w:kern w:val="24"/>
          <w:sz w:val="28"/>
          <w:szCs w:val="28"/>
          <w:u w:val="single"/>
        </w:rPr>
      </w:pPr>
      <w:r w:rsidRPr="00CB4E93">
        <w:rPr>
          <w:rFonts w:ascii="Times New Roman" w:eastAsia="+mn-ea" w:hAnsi="Times New Roman" w:cs="Times New Roman"/>
          <w:bCs/>
          <w:color w:val="00607F"/>
          <w:kern w:val="24"/>
          <w:sz w:val="28"/>
          <w:szCs w:val="28"/>
          <w:u w:val="single"/>
        </w:rPr>
        <w:t>Needs-Related Payments</w:t>
      </w:r>
    </w:p>
    <w:p w:rsidR="00CB4E93" w:rsidRDefault="00CB4E93" w:rsidP="00CE34E0">
      <w:pPr>
        <w:spacing w:after="0" w:line="240" w:lineRule="auto"/>
        <w:jc w:val="both"/>
      </w:pPr>
      <w:r>
        <w:t xml:space="preserve">Funds for adults may be used to provide needs-related payments to adults who are unemployed and do not qualify for (or have ceased to qualify for) unemployment compensation for the purpose of enabling such individuals to participate in programs of training services. </w:t>
      </w:r>
    </w:p>
    <w:p w:rsidR="00CB4E93" w:rsidRDefault="00CB4E93" w:rsidP="00CE34E0">
      <w:pPr>
        <w:spacing w:after="0" w:line="240" w:lineRule="auto"/>
        <w:jc w:val="both"/>
      </w:pPr>
    </w:p>
    <w:p w:rsidR="00CB4E93" w:rsidRDefault="00CB4E93" w:rsidP="00CE34E0">
      <w:pPr>
        <w:spacing w:after="0" w:line="240" w:lineRule="auto"/>
        <w:jc w:val="both"/>
        <w:rPr>
          <w:rFonts w:eastAsia="+mn-ea" w:cs="Times New Roman"/>
          <w:bCs/>
          <w:color w:val="00607F"/>
          <w:kern w:val="24"/>
        </w:rPr>
      </w:pPr>
      <w:r w:rsidRPr="00CB4E93">
        <w:rPr>
          <w:rFonts w:eastAsia="+mn-ea" w:cs="Times New Roman"/>
          <w:bCs/>
          <w:color w:val="00607F"/>
          <w:kern w:val="24"/>
        </w:rPr>
        <w:t xml:space="preserve">Greater Nebraska does not offer needs-related payments. </w:t>
      </w:r>
    </w:p>
    <w:p w:rsidR="00CB4E93" w:rsidRDefault="00CB4E93" w:rsidP="00CE34E0">
      <w:pPr>
        <w:spacing w:after="0" w:line="240" w:lineRule="auto"/>
        <w:jc w:val="both"/>
        <w:rPr>
          <w:rFonts w:eastAsia="+mn-ea" w:cs="Times New Roman"/>
          <w:bCs/>
          <w:color w:val="00607F"/>
          <w:kern w:val="24"/>
        </w:rPr>
      </w:pPr>
    </w:p>
    <w:p w:rsidR="00CB4E93" w:rsidRPr="00CB4E93" w:rsidRDefault="00CB4E93" w:rsidP="00CE34E0">
      <w:pPr>
        <w:pStyle w:val="Default"/>
        <w:jc w:val="both"/>
        <w:rPr>
          <w:rFonts w:ascii="Times New Roman" w:eastAsia="+mn-ea" w:hAnsi="Times New Roman" w:cs="Times New Roman"/>
          <w:bCs/>
          <w:color w:val="00607F"/>
          <w:kern w:val="24"/>
          <w:sz w:val="28"/>
          <w:szCs w:val="28"/>
          <w:u w:val="single"/>
        </w:rPr>
      </w:pPr>
      <w:r w:rsidRPr="00CB4E93">
        <w:rPr>
          <w:rFonts w:ascii="Times New Roman" w:eastAsia="+mn-ea" w:hAnsi="Times New Roman" w:cs="Times New Roman"/>
          <w:bCs/>
          <w:color w:val="00607F"/>
          <w:kern w:val="24"/>
          <w:sz w:val="28"/>
          <w:szCs w:val="28"/>
          <w:u w:val="single"/>
        </w:rPr>
        <w:t>Priority for Veterans</w:t>
      </w:r>
    </w:p>
    <w:p w:rsidR="00CB4E93" w:rsidRDefault="00CB4E93" w:rsidP="00CE34E0">
      <w:pPr>
        <w:pStyle w:val="Default"/>
        <w:jc w:val="both"/>
        <w:rPr>
          <w:rFonts w:ascii="Times New Roman" w:hAnsi="Times New Roman" w:cstheme="minorBidi"/>
          <w:color w:val="auto"/>
          <w:sz w:val="22"/>
          <w:szCs w:val="22"/>
        </w:rPr>
      </w:pPr>
      <w:r w:rsidRPr="00CB4E93">
        <w:rPr>
          <w:rFonts w:ascii="Times New Roman" w:hAnsi="Times New Roman" w:cstheme="minorBidi"/>
          <w:color w:val="auto"/>
          <w:sz w:val="22"/>
          <w:szCs w:val="22"/>
        </w:rPr>
        <w:t xml:space="preserve">Covered persons receive priority of service in all Department of Labor-funded training programs under 38 U.S.C. 4215 and described in 20 CFR 1010. </w:t>
      </w:r>
      <w:r>
        <w:rPr>
          <w:rStyle w:val="FootnoteReference"/>
          <w:rFonts w:ascii="Times New Roman" w:hAnsi="Times New Roman" w:cstheme="minorBidi"/>
          <w:color w:val="auto"/>
          <w:sz w:val="22"/>
          <w:szCs w:val="22"/>
        </w:rPr>
        <w:footnoteReference w:id="15"/>
      </w:r>
      <w:r w:rsidRPr="00CB4E93">
        <w:rPr>
          <w:rFonts w:ascii="Times New Roman" w:hAnsi="Times New Roman" w:cstheme="minorBidi"/>
          <w:color w:val="auto"/>
          <w:sz w:val="22"/>
          <w:szCs w:val="22"/>
        </w:rPr>
        <w:t>A veteran must still meet each program’s eligibility criteria to receive services under the respective employment and training program</w:t>
      </w:r>
      <w:r>
        <w:rPr>
          <w:rStyle w:val="FootnoteReference"/>
          <w:rFonts w:ascii="Times New Roman" w:hAnsi="Times New Roman" w:cstheme="minorBidi"/>
          <w:color w:val="auto"/>
          <w:sz w:val="22"/>
          <w:szCs w:val="22"/>
        </w:rPr>
        <w:footnoteReference w:id="16"/>
      </w:r>
      <w:r w:rsidRPr="00CB4E93">
        <w:rPr>
          <w:rFonts w:ascii="Times New Roman" w:hAnsi="Times New Roman" w:cstheme="minorBidi"/>
          <w:color w:val="auto"/>
          <w:sz w:val="22"/>
          <w:szCs w:val="22"/>
        </w:rPr>
        <w:t>.</w:t>
      </w:r>
    </w:p>
    <w:p w:rsidR="00CB4E93" w:rsidRPr="00CB4E93" w:rsidRDefault="00CB4E93" w:rsidP="00CE34E0">
      <w:pPr>
        <w:pStyle w:val="Default"/>
        <w:jc w:val="both"/>
        <w:rPr>
          <w:rFonts w:ascii="Times New Roman" w:hAnsi="Times New Roman" w:cstheme="minorBidi"/>
          <w:color w:val="auto"/>
          <w:sz w:val="22"/>
          <w:szCs w:val="22"/>
        </w:rPr>
      </w:pPr>
    </w:p>
    <w:p w:rsidR="00CB4E93" w:rsidRPr="00CB4E93" w:rsidRDefault="00CB4E93" w:rsidP="00CE34E0">
      <w:pPr>
        <w:spacing w:after="0" w:line="240" w:lineRule="auto"/>
        <w:jc w:val="both"/>
        <w:rPr>
          <w:rFonts w:eastAsia="+mn-ea" w:cs="Times New Roman"/>
          <w:bCs/>
          <w:color w:val="00607F"/>
          <w:kern w:val="24"/>
        </w:rPr>
      </w:pPr>
      <w:r>
        <w:t>The term “</w:t>
      </w:r>
      <w:r>
        <w:rPr>
          <w:b/>
          <w:bCs/>
        </w:rPr>
        <w:t>covered person</w:t>
      </w:r>
      <w:r>
        <w:t>” as defined in Section 2(a) of the Jobs for Veterans Act [38 U.S.C. 4215(a)] means a veteran or eligible spouse.</w:t>
      </w:r>
      <w:r w:rsidRPr="00CB4E93">
        <w:rPr>
          <w:rStyle w:val="FootnoteReference"/>
          <w:rFonts w:eastAsia="+mn-ea" w:cs="Times New Roman"/>
          <w:bCs/>
          <w:kern w:val="24"/>
        </w:rPr>
        <w:footnoteReference w:id="17"/>
      </w:r>
    </w:p>
    <w:p w:rsidR="00CB4E93" w:rsidRDefault="00CB4E93" w:rsidP="00CE34E0">
      <w:pPr>
        <w:spacing w:after="0" w:line="240" w:lineRule="auto"/>
        <w:jc w:val="both"/>
        <w:rPr>
          <w:rFonts w:eastAsia="+mn-ea" w:cs="Times New Roman"/>
          <w:bCs/>
          <w:color w:val="00607F"/>
          <w:kern w:val="24"/>
          <w:sz w:val="28"/>
          <w:szCs w:val="28"/>
        </w:rPr>
      </w:pPr>
    </w:p>
    <w:p w:rsidR="00CB4E93" w:rsidRDefault="00CB4E93" w:rsidP="00CE34E0">
      <w:pPr>
        <w:spacing w:after="0" w:line="240" w:lineRule="auto"/>
        <w:jc w:val="both"/>
        <w:rPr>
          <w:rFonts w:eastAsia="+mn-ea" w:cs="Times New Roman"/>
          <w:bCs/>
          <w:color w:val="00607F"/>
          <w:kern w:val="24"/>
          <w:sz w:val="28"/>
          <w:szCs w:val="28"/>
        </w:rPr>
      </w:pPr>
      <w:r>
        <w:t>“</w:t>
      </w:r>
      <w:r>
        <w:rPr>
          <w:b/>
          <w:bCs/>
        </w:rPr>
        <w:t>Veteran</w:t>
      </w:r>
      <w:r>
        <w:t>” means a person who served at least one day in the active military, naval, or air service, and who was discharged or released under conditions other than dishonorable, as specified in 38 U.S.C. 101(2). Active service includes full-time Federal service in the National Guard or a Reserve component.</w:t>
      </w:r>
      <w:r>
        <w:rPr>
          <w:sz w:val="14"/>
          <w:szCs w:val="14"/>
        </w:rPr>
        <w:t xml:space="preserve"> </w:t>
      </w:r>
      <w:r>
        <w:rPr>
          <w:rStyle w:val="FootnoteReference"/>
        </w:rPr>
        <w:footnoteReference w:id="18"/>
      </w:r>
      <w:r>
        <w:t>Active service does not include full-time duty performed strictly for training purposes unless the individual was disabled or died from an disease or injury incurred or aggravated in the line of duty.</w:t>
      </w:r>
      <w:r>
        <w:rPr>
          <w:sz w:val="14"/>
          <w:szCs w:val="14"/>
        </w:rPr>
        <w:t>20</w:t>
      </w:r>
    </w:p>
    <w:p w:rsidR="00CB4E93" w:rsidRDefault="00CB4E93" w:rsidP="00CE34E0">
      <w:pPr>
        <w:spacing w:after="0" w:line="240" w:lineRule="auto"/>
        <w:jc w:val="both"/>
        <w:rPr>
          <w:rFonts w:eastAsia="+mn-ea" w:cs="Times New Roman"/>
          <w:bCs/>
          <w:color w:val="00607F"/>
          <w:kern w:val="24"/>
          <w:sz w:val="28"/>
          <w:szCs w:val="28"/>
        </w:rPr>
      </w:pPr>
    </w:p>
    <w:p w:rsidR="00CB4E93" w:rsidRPr="00CB4E93" w:rsidRDefault="00CB4E93" w:rsidP="00CE34E0">
      <w:pPr>
        <w:pStyle w:val="Default"/>
        <w:jc w:val="both"/>
        <w:rPr>
          <w:rFonts w:ascii="Times New Roman" w:hAnsi="Times New Roman" w:cs="Times New Roman"/>
          <w:sz w:val="22"/>
          <w:szCs w:val="22"/>
        </w:rPr>
      </w:pPr>
      <w:r w:rsidRPr="00CB4E93">
        <w:rPr>
          <w:rFonts w:ascii="Times New Roman" w:hAnsi="Times New Roman" w:cs="Times New Roman"/>
          <w:sz w:val="22"/>
          <w:szCs w:val="22"/>
        </w:rPr>
        <w:t>“</w:t>
      </w:r>
      <w:r w:rsidRPr="00CB4E93">
        <w:rPr>
          <w:rFonts w:ascii="Times New Roman" w:hAnsi="Times New Roman" w:cs="Times New Roman"/>
          <w:b/>
          <w:bCs/>
          <w:sz w:val="22"/>
          <w:szCs w:val="22"/>
        </w:rPr>
        <w:t>Eligible Spouse</w:t>
      </w:r>
      <w:r w:rsidRPr="00CB4E93">
        <w:rPr>
          <w:rFonts w:ascii="Times New Roman" w:hAnsi="Times New Roman" w:cs="Times New Roman"/>
          <w:sz w:val="22"/>
          <w:szCs w:val="22"/>
        </w:rPr>
        <w:t xml:space="preserve">” means the spouse of any of the following: </w:t>
      </w:r>
    </w:p>
    <w:p w:rsidR="00CB4E93" w:rsidRPr="00CB4E93" w:rsidRDefault="00CB4E93" w:rsidP="00CE34E0">
      <w:pPr>
        <w:pStyle w:val="Default"/>
        <w:numPr>
          <w:ilvl w:val="0"/>
          <w:numId w:val="19"/>
        </w:numPr>
        <w:spacing w:after="14"/>
        <w:jc w:val="both"/>
        <w:rPr>
          <w:rFonts w:ascii="Times New Roman" w:hAnsi="Times New Roman" w:cs="Times New Roman"/>
          <w:sz w:val="22"/>
          <w:szCs w:val="22"/>
        </w:rPr>
      </w:pPr>
      <w:r w:rsidRPr="00CB4E93">
        <w:rPr>
          <w:rFonts w:ascii="Times New Roman" w:hAnsi="Times New Roman" w:cs="Times New Roman"/>
          <w:sz w:val="22"/>
          <w:szCs w:val="22"/>
        </w:rPr>
        <w:t xml:space="preserve">Any veteran who died of a service-connected disability; </w:t>
      </w:r>
    </w:p>
    <w:p w:rsidR="00CB4E93" w:rsidRPr="00CB4E93" w:rsidRDefault="00CB4E93" w:rsidP="00CE34E0">
      <w:pPr>
        <w:pStyle w:val="Default"/>
        <w:numPr>
          <w:ilvl w:val="0"/>
          <w:numId w:val="19"/>
        </w:numPr>
        <w:spacing w:after="14"/>
        <w:jc w:val="both"/>
        <w:rPr>
          <w:rFonts w:ascii="Times New Roman" w:hAnsi="Times New Roman" w:cs="Times New Roman"/>
          <w:sz w:val="22"/>
          <w:szCs w:val="22"/>
        </w:rPr>
      </w:pPr>
      <w:r w:rsidRPr="00CB4E93">
        <w:rPr>
          <w:rFonts w:ascii="Times New Roman" w:hAnsi="Times New Roman" w:cs="Times New Roman"/>
          <w:sz w:val="22"/>
          <w:szCs w:val="22"/>
        </w:rPr>
        <w:t xml:space="preserve">Any member of the Armed Forces serving on active duty who, at the time of application for the priority, is listed in one or more of the following categories and has been so listed for a total of more than 90 days: (I) missing in action, (II) captured in the line of duty by a hostile force, or (III) forcibly detained or interned in the line of duty by a foreign government or power; </w:t>
      </w:r>
    </w:p>
    <w:p w:rsidR="00CB4E93" w:rsidRPr="00CB4E93" w:rsidRDefault="00CB4E93" w:rsidP="00CE34E0">
      <w:pPr>
        <w:pStyle w:val="Default"/>
        <w:numPr>
          <w:ilvl w:val="0"/>
          <w:numId w:val="19"/>
        </w:numPr>
        <w:spacing w:after="14"/>
        <w:jc w:val="both"/>
        <w:rPr>
          <w:rFonts w:ascii="Times New Roman" w:hAnsi="Times New Roman" w:cs="Times New Roman"/>
          <w:sz w:val="22"/>
          <w:szCs w:val="22"/>
        </w:rPr>
      </w:pPr>
      <w:r w:rsidRPr="00CB4E93">
        <w:rPr>
          <w:rFonts w:ascii="Times New Roman" w:hAnsi="Times New Roman" w:cs="Times New Roman"/>
          <w:sz w:val="22"/>
          <w:szCs w:val="22"/>
        </w:rPr>
        <w:t xml:space="preserve">Any veteran who has a total disability resulting from a service-connected disability, as evaluated by the Department of Veterans Affairs; or </w:t>
      </w:r>
    </w:p>
    <w:p w:rsidR="00CB4E93" w:rsidRPr="00CB4E93" w:rsidRDefault="00CB4E93" w:rsidP="00CE34E0">
      <w:pPr>
        <w:pStyle w:val="Default"/>
        <w:numPr>
          <w:ilvl w:val="0"/>
          <w:numId w:val="19"/>
        </w:numPr>
        <w:jc w:val="both"/>
        <w:rPr>
          <w:rFonts w:ascii="Times New Roman" w:hAnsi="Times New Roman" w:cs="Times New Roman"/>
          <w:sz w:val="22"/>
          <w:szCs w:val="22"/>
        </w:rPr>
      </w:pPr>
      <w:r w:rsidRPr="00CB4E93">
        <w:rPr>
          <w:rFonts w:ascii="Times New Roman" w:hAnsi="Times New Roman" w:cs="Times New Roman"/>
          <w:sz w:val="22"/>
          <w:szCs w:val="22"/>
        </w:rPr>
        <w:t>Any veteran who died while a disability, as indicated in paragrap</w:t>
      </w:r>
      <w:r>
        <w:rPr>
          <w:rFonts w:ascii="Times New Roman" w:hAnsi="Times New Roman" w:cs="Times New Roman"/>
          <w:sz w:val="22"/>
          <w:szCs w:val="22"/>
        </w:rPr>
        <w:t>h 3 (above), was in existence.</w:t>
      </w:r>
      <w:r w:rsidRPr="00CB4E93">
        <w:rPr>
          <w:rFonts w:ascii="Times New Roman" w:hAnsi="Times New Roman" w:cs="Times New Roman"/>
          <w:sz w:val="22"/>
          <w:szCs w:val="22"/>
        </w:rPr>
        <w:t xml:space="preserve"> </w:t>
      </w:r>
      <w:r>
        <w:rPr>
          <w:rStyle w:val="FootnoteReference"/>
          <w:rFonts w:ascii="Times New Roman" w:hAnsi="Times New Roman" w:cs="Times New Roman"/>
          <w:sz w:val="22"/>
          <w:szCs w:val="22"/>
        </w:rPr>
        <w:footnoteReference w:id="19"/>
      </w:r>
    </w:p>
    <w:p w:rsidR="00CB4E93" w:rsidRDefault="00CB4E93" w:rsidP="00CE34E0">
      <w:pPr>
        <w:pStyle w:val="Default"/>
        <w:jc w:val="both"/>
        <w:rPr>
          <w:sz w:val="22"/>
          <w:szCs w:val="22"/>
        </w:rPr>
      </w:pPr>
    </w:p>
    <w:p w:rsidR="00CB4E93" w:rsidRDefault="00CB4E93" w:rsidP="00CE34E0">
      <w:pPr>
        <w:spacing w:after="0" w:line="240" w:lineRule="auto"/>
        <w:jc w:val="both"/>
        <w:rPr>
          <w:rFonts w:eastAsia="+mn-ea" w:cs="Times New Roman"/>
          <w:bCs/>
          <w:color w:val="00607F"/>
          <w:kern w:val="24"/>
          <w:sz w:val="28"/>
          <w:szCs w:val="28"/>
        </w:rPr>
      </w:pPr>
      <w:r>
        <w:t>The term “</w:t>
      </w:r>
      <w:r>
        <w:rPr>
          <w:b/>
          <w:bCs/>
        </w:rPr>
        <w:t>priority of service</w:t>
      </w:r>
      <w:r>
        <w:t>” means, with respect to any qualified job training program, that a covered person shall be given priority over a non-covered person for the receipt of employment, training, and placement services provided under that program, notwithstanding any other provision of the law.</w:t>
      </w:r>
      <w:r>
        <w:rPr>
          <w:rStyle w:val="FootnoteReference"/>
          <w:rFonts w:eastAsia="+mn-ea" w:cs="Times New Roman"/>
          <w:bCs/>
          <w:color w:val="00607F"/>
          <w:kern w:val="24"/>
          <w:sz w:val="28"/>
          <w:szCs w:val="28"/>
        </w:rPr>
        <w:footnoteReference w:id="20"/>
      </w:r>
    </w:p>
    <w:p w:rsidR="00CB4E93" w:rsidRDefault="00CB4E93" w:rsidP="00CE34E0">
      <w:pPr>
        <w:spacing w:after="0" w:line="240" w:lineRule="auto"/>
        <w:jc w:val="both"/>
        <w:rPr>
          <w:rFonts w:eastAsia="+mn-ea" w:cs="Times New Roman"/>
          <w:bCs/>
          <w:color w:val="00607F"/>
          <w:kern w:val="24"/>
          <w:sz w:val="28"/>
          <w:szCs w:val="28"/>
        </w:rPr>
      </w:pPr>
    </w:p>
    <w:p w:rsidR="002A6F50" w:rsidRDefault="002A6F50" w:rsidP="00CE34E0">
      <w:pPr>
        <w:spacing w:after="0" w:line="240" w:lineRule="auto"/>
        <w:jc w:val="both"/>
        <w:rPr>
          <w:rFonts w:eastAsia="+mn-ea" w:cs="Times New Roman"/>
          <w:bCs/>
          <w:color w:val="00607F"/>
          <w:kern w:val="24"/>
          <w:sz w:val="28"/>
          <w:szCs w:val="28"/>
        </w:rPr>
      </w:pPr>
      <w:r>
        <w:t>For income-based eligibility determinations, amounts paid while on active duty or paid by the Department of Veterans Affairs for vocational rehabilitation, disability payments, or related VA-funded programs are not to be considered as income in accordance with 38 U.S.C. 4213 and 20 CFR § 683.230.</w:t>
      </w:r>
      <w:r>
        <w:rPr>
          <w:sz w:val="14"/>
          <w:szCs w:val="14"/>
        </w:rPr>
        <w:t xml:space="preserve"> </w:t>
      </w:r>
      <w:r>
        <w:rPr>
          <w:rStyle w:val="FootnoteReference"/>
        </w:rPr>
        <w:footnoteReference w:id="21"/>
      </w:r>
      <w:r>
        <w:t>This applies when determining if a person is a “low-income individual” for eligibility purposes (for example, in WIOA youth programs). It also applies when income is used as a factor when the local area provides priority of service for “low income individuals” with Title I WIOA funds.</w:t>
      </w:r>
      <w:r w:rsidRPr="002A6F50">
        <w:rPr>
          <w:rStyle w:val="FootnoteReference"/>
          <w:rFonts w:eastAsia="+mn-ea" w:cs="Times New Roman"/>
          <w:bCs/>
          <w:kern w:val="24"/>
          <w:sz w:val="20"/>
          <w:szCs w:val="20"/>
        </w:rPr>
        <w:footnoteReference w:id="22"/>
      </w:r>
    </w:p>
    <w:p w:rsidR="002A6F50" w:rsidRDefault="002A6F50" w:rsidP="00CE34E0">
      <w:pPr>
        <w:spacing w:after="0" w:line="240" w:lineRule="auto"/>
        <w:jc w:val="both"/>
        <w:rPr>
          <w:rFonts w:eastAsia="+mn-ea" w:cs="Times New Roman"/>
          <w:bCs/>
          <w:color w:val="00607F"/>
          <w:kern w:val="24"/>
          <w:sz w:val="28"/>
          <w:szCs w:val="28"/>
        </w:rPr>
      </w:pPr>
    </w:p>
    <w:p w:rsidR="002A6F50" w:rsidRPr="00CE34E0" w:rsidRDefault="002A6F50" w:rsidP="00CE34E0">
      <w:pPr>
        <w:pStyle w:val="Default"/>
        <w:rPr>
          <w:rFonts w:ascii="Times New Roman" w:eastAsia="+mn-ea" w:hAnsi="Times New Roman" w:cs="Times New Roman"/>
          <w:bCs/>
          <w:color w:val="00607F"/>
          <w:kern w:val="24"/>
          <w:sz w:val="28"/>
          <w:szCs w:val="28"/>
          <w:u w:val="single"/>
        </w:rPr>
      </w:pPr>
      <w:r w:rsidRPr="00CE34E0">
        <w:rPr>
          <w:rFonts w:ascii="Times New Roman" w:eastAsia="+mn-ea" w:hAnsi="Times New Roman" w:cs="Times New Roman"/>
          <w:bCs/>
          <w:color w:val="00607F"/>
          <w:kern w:val="24"/>
          <w:sz w:val="28"/>
          <w:szCs w:val="28"/>
          <w:u w:val="single"/>
        </w:rPr>
        <w:t>Registration</w:t>
      </w:r>
    </w:p>
    <w:p w:rsidR="002A6F50" w:rsidRDefault="002A6F50" w:rsidP="00CE34E0">
      <w:pPr>
        <w:pStyle w:val="Default"/>
        <w:jc w:val="both"/>
        <w:rPr>
          <w:rFonts w:ascii="Times New Roman" w:hAnsi="Times New Roman" w:cs="Times New Roman"/>
          <w:sz w:val="22"/>
          <w:szCs w:val="22"/>
        </w:rPr>
      </w:pPr>
      <w:r w:rsidRPr="00C20A48">
        <w:rPr>
          <w:rFonts w:ascii="Times New Roman" w:hAnsi="Times New Roman" w:cs="Times New Roman"/>
          <w:sz w:val="22"/>
          <w:szCs w:val="22"/>
        </w:rPr>
        <w:t xml:space="preserve">Registration is the process for collecting information for supporting a determination of eligibility. This information may be collected through methods that include electronic data transfer, personal interview, or an individual’s </w:t>
      </w:r>
      <w:r w:rsidR="009C3CA9" w:rsidRPr="00A449CC">
        <w:rPr>
          <w:rFonts w:ascii="Times New Roman" w:hAnsi="Times New Roman" w:cs="Times New Roman"/>
          <w:sz w:val="22"/>
          <w:szCs w:val="22"/>
        </w:rPr>
        <w:t xml:space="preserve">WIOA </w:t>
      </w:r>
      <w:r w:rsidRPr="00A449CC">
        <w:rPr>
          <w:rFonts w:ascii="Times New Roman" w:hAnsi="Times New Roman" w:cs="Times New Roman"/>
          <w:sz w:val="22"/>
          <w:szCs w:val="22"/>
        </w:rPr>
        <w:t>application.</w:t>
      </w:r>
      <w:r w:rsidRPr="00C20A48">
        <w:rPr>
          <w:rFonts w:ascii="Times New Roman" w:hAnsi="Times New Roman" w:cs="Times New Roman"/>
          <w:sz w:val="22"/>
          <w:szCs w:val="22"/>
        </w:rPr>
        <w:t xml:space="preserve"> </w:t>
      </w:r>
    </w:p>
    <w:p w:rsidR="00C20A48" w:rsidRPr="00C20A48" w:rsidRDefault="00C20A48" w:rsidP="00CE34E0">
      <w:pPr>
        <w:pStyle w:val="Default"/>
        <w:jc w:val="both"/>
        <w:rPr>
          <w:rFonts w:ascii="Times New Roman" w:hAnsi="Times New Roman" w:cs="Times New Roman"/>
          <w:sz w:val="22"/>
          <w:szCs w:val="22"/>
        </w:rPr>
      </w:pPr>
    </w:p>
    <w:p w:rsidR="002A6F50" w:rsidRPr="00C20A48" w:rsidRDefault="002A6F50" w:rsidP="00CE34E0">
      <w:pPr>
        <w:pStyle w:val="Default"/>
        <w:numPr>
          <w:ilvl w:val="0"/>
          <w:numId w:val="20"/>
        </w:numPr>
        <w:jc w:val="both"/>
        <w:rPr>
          <w:rFonts w:ascii="Times New Roman" w:hAnsi="Times New Roman" w:cs="Times New Roman"/>
          <w:sz w:val="14"/>
          <w:szCs w:val="14"/>
        </w:rPr>
      </w:pPr>
      <w:r w:rsidRPr="00C20A48">
        <w:rPr>
          <w:rFonts w:ascii="Times New Roman" w:hAnsi="Times New Roman" w:cs="Times New Roman"/>
          <w:sz w:val="22"/>
          <w:szCs w:val="22"/>
        </w:rPr>
        <w:t>Adults who receive services funded under Title I other than self-service or informational activities must be registered and determined eligible and must be a participant.</w:t>
      </w:r>
      <w:r w:rsidR="00C20A48">
        <w:rPr>
          <w:rStyle w:val="FootnoteReference"/>
          <w:rFonts w:ascii="Times New Roman" w:hAnsi="Times New Roman" w:cs="Times New Roman"/>
          <w:sz w:val="14"/>
          <w:szCs w:val="14"/>
        </w:rPr>
        <w:footnoteReference w:id="23"/>
      </w:r>
    </w:p>
    <w:p w:rsidR="00C20A48" w:rsidRDefault="00C20A48" w:rsidP="00CE34E0">
      <w:pPr>
        <w:spacing w:after="0" w:line="240" w:lineRule="auto"/>
        <w:jc w:val="both"/>
        <w:rPr>
          <w:rFonts w:cs="Times New Roman"/>
        </w:rPr>
      </w:pPr>
    </w:p>
    <w:p w:rsidR="002A6F50" w:rsidRPr="00C20A48" w:rsidRDefault="002A6F50" w:rsidP="00CE34E0">
      <w:pPr>
        <w:pStyle w:val="ListParagraph"/>
        <w:numPr>
          <w:ilvl w:val="0"/>
          <w:numId w:val="20"/>
        </w:numPr>
        <w:spacing w:after="0" w:line="240" w:lineRule="auto"/>
        <w:jc w:val="both"/>
        <w:rPr>
          <w:rFonts w:eastAsia="+mn-ea" w:cs="Times New Roman"/>
          <w:bCs/>
          <w:color w:val="00607F"/>
          <w:kern w:val="24"/>
          <w:sz w:val="28"/>
          <w:szCs w:val="28"/>
        </w:rPr>
      </w:pPr>
      <w:r w:rsidRPr="00C20A48">
        <w:rPr>
          <w:rFonts w:cs="Times New Roman"/>
        </w:rPr>
        <w:t>Employment Opportunity data must be collected on every individual who is interested in being considered for WIOA Title I financially assisted aid, benefits, services, or training by a recipient, and who has signified that interest by submitting personal information in response to a request from the grant recipient or designated service provider.</w:t>
      </w:r>
      <w:r w:rsidR="00C20A48" w:rsidRPr="00C20A48">
        <w:rPr>
          <w:rStyle w:val="FootnoteReference"/>
          <w:rFonts w:eastAsia="+mn-ea" w:cs="Times New Roman"/>
          <w:bCs/>
          <w:kern w:val="24"/>
          <w:sz w:val="18"/>
          <w:szCs w:val="18"/>
        </w:rPr>
        <w:footnoteReference w:id="24"/>
      </w:r>
    </w:p>
    <w:p w:rsidR="00CE34E0" w:rsidRDefault="00CE34E0" w:rsidP="00CE34E0">
      <w:pPr>
        <w:pStyle w:val="Default"/>
        <w:rPr>
          <w:b/>
          <w:bCs/>
          <w:sz w:val="22"/>
          <w:szCs w:val="22"/>
        </w:rPr>
      </w:pPr>
    </w:p>
    <w:p w:rsidR="00CE34E0" w:rsidRPr="00CE34E0" w:rsidRDefault="00CE34E0" w:rsidP="00CE34E0">
      <w:pPr>
        <w:pStyle w:val="Default"/>
        <w:rPr>
          <w:rFonts w:ascii="Times New Roman" w:eastAsia="+mn-ea" w:hAnsi="Times New Roman" w:cs="Times New Roman"/>
          <w:bCs/>
          <w:color w:val="00607F"/>
          <w:kern w:val="24"/>
          <w:sz w:val="28"/>
          <w:szCs w:val="28"/>
          <w:u w:val="single"/>
        </w:rPr>
      </w:pPr>
      <w:r w:rsidRPr="00CE34E0">
        <w:rPr>
          <w:rFonts w:ascii="Times New Roman" w:eastAsia="+mn-ea" w:hAnsi="Times New Roman" w:cs="Times New Roman"/>
          <w:bCs/>
          <w:color w:val="00607F"/>
          <w:kern w:val="24"/>
          <w:sz w:val="28"/>
          <w:szCs w:val="28"/>
          <w:u w:val="single"/>
        </w:rPr>
        <w:t xml:space="preserve">Concurrent Enrollment </w:t>
      </w:r>
    </w:p>
    <w:p w:rsidR="00CE34E0" w:rsidRPr="00CE34E0" w:rsidRDefault="00CE34E0" w:rsidP="00CE34E0">
      <w:pPr>
        <w:pStyle w:val="Default"/>
        <w:jc w:val="both"/>
        <w:rPr>
          <w:rFonts w:ascii="Times New Roman" w:hAnsi="Times New Roman" w:cstheme="minorBidi"/>
          <w:color w:val="auto"/>
          <w:sz w:val="22"/>
          <w:szCs w:val="22"/>
        </w:rPr>
      </w:pPr>
      <w:r w:rsidRPr="00CE34E0">
        <w:rPr>
          <w:rFonts w:ascii="Times New Roman" w:hAnsi="Times New Roman" w:cstheme="minorBidi"/>
          <w:color w:val="auto"/>
          <w:sz w:val="22"/>
          <w:szCs w:val="22"/>
        </w:rPr>
        <w:t>Under Section 3 of WIOA, eligible adults are defined as individuals age 18 or older.</w:t>
      </w:r>
      <w:r w:rsidR="00CE05A6">
        <w:rPr>
          <w:rStyle w:val="FootnoteReference"/>
          <w:rFonts w:ascii="Times New Roman" w:hAnsi="Times New Roman" w:cstheme="minorBidi"/>
          <w:color w:val="auto"/>
          <w:sz w:val="22"/>
          <w:szCs w:val="22"/>
        </w:rPr>
        <w:footnoteReference w:id="25"/>
      </w:r>
      <w:r w:rsidR="00CE05A6">
        <w:rPr>
          <w:rFonts w:ascii="Times New Roman" w:hAnsi="Times New Roman" w:cstheme="minorBidi"/>
          <w:color w:val="auto"/>
          <w:sz w:val="22"/>
          <w:szCs w:val="22"/>
        </w:rPr>
        <w:t xml:space="preserve"> </w:t>
      </w:r>
      <w:r w:rsidRPr="00CE34E0">
        <w:rPr>
          <w:rFonts w:ascii="Times New Roman" w:hAnsi="Times New Roman" w:cstheme="minorBidi"/>
          <w:color w:val="auto"/>
          <w:sz w:val="22"/>
          <w:szCs w:val="22"/>
        </w:rPr>
        <w:t>WIOA defines eligible youth as 14 through 21 years of age, if in-school youth,</w:t>
      </w:r>
      <w:r w:rsidR="00CE05A6">
        <w:rPr>
          <w:rStyle w:val="FootnoteReference"/>
          <w:rFonts w:ascii="Times New Roman" w:hAnsi="Times New Roman" w:cstheme="minorBidi"/>
          <w:color w:val="auto"/>
          <w:sz w:val="22"/>
          <w:szCs w:val="22"/>
        </w:rPr>
        <w:footnoteReference w:id="26"/>
      </w:r>
      <w:r w:rsidRPr="00CE34E0">
        <w:rPr>
          <w:rFonts w:ascii="Times New Roman" w:hAnsi="Times New Roman" w:cstheme="minorBidi"/>
          <w:color w:val="auto"/>
          <w:sz w:val="22"/>
          <w:szCs w:val="22"/>
        </w:rPr>
        <w:t xml:space="preserve"> and 16 through 24, if out-of-school youth. </w:t>
      </w:r>
      <w:r w:rsidR="00CE05A6">
        <w:rPr>
          <w:rStyle w:val="FootnoteReference"/>
          <w:rFonts w:ascii="Times New Roman" w:hAnsi="Times New Roman" w:cstheme="minorBidi"/>
          <w:color w:val="auto"/>
          <w:sz w:val="22"/>
          <w:szCs w:val="22"/>
        </w:rPr>
        <w:footnoteReference w:id="27"/>
      </w:r>
      <w:r w:rsidRPr="00CE34E0">
        <w:rPr>
          <w:rFonts w:ascii="Times New Roman" w:hAnsi="Times New Roman" w:cstheme="minorBidi"/>
          <w:color w:val="auto"/>
          <w:sz w:val="22"/>
          <w:szCs w:val="22"/>
        </w:rPr>
        <w:t xml:space="preserve">Thus, individuals between the ages of 18 through 24 [at registration] may be eligible for both adult and youth programs. </w:t>
      </w:r>
    </w:p>
    <w:p w:rsidR="00CE34E0" w:rsidRPr="00CE34E0" w:rsidRDefault="00CE34E0" w:rsidP="00CE34E0">
      <w:pPr>
        <w:pStyle w:val="Default"/>
        <w:jc w:val="both"/>
        <w:rPr>
          <w:rFonts w:ascii="Times New Roman" w:hAnsi="Times New Roman" w:cstheme="minorBidi"/>
          <w:color w:val="auto"/>
          <w:sz w:val="22"/>
          <w:szCs w:val="22"/>
        </w:rPr>
      </w:pPr>
    </w:p>
    <w:p w:rsidR="00CE34E0" w:rsidRPr="00CE34E0" w:rsidRDefault="00CE34E0" w:rsidP="00CE34E0">
      <w:pPr>
        <w:pStyle w:val="Default"/>
        <w:numPr>
          <w:ilvl w:val="0"/>
          <w:numId w:val="21"/>
        </w:numPr>
        <w:spacing w:after="115"/>
        <w:jc w:val="both"/>
        <w:rPr>
          <w:rFonts w:ascii="Times New Roman" w:hAnsi="Times New Roman" w:cstheme="minorBidi"/>
          <w:color w:val="auto"/>
          <w:sz w:val="22"/>
          <w:szCs w:val="22"/>
        </w:rPr>
      </w:pPr>
      <w:r w:rsidRPr="00CE34E0">
        <w:rPr>
          <w:rFonts w:ascii="Times New Roman" w:hAnsi="Times New Roman" w:cstheme="minorBidi"/>
          <w:color w:val="auto"/>
          <w:sz w:val="22"/>
          <w:szCs w:val="22"/>
        </w:rPr>
        <w:t xml:space="preserve">Eligible individuals who are 18 through 24 years old [at registration] may participate in adult and youth programs concurrently. Such individuals must be eligible under the youth and adult/dislocated worker eligibility criteria applicable to the services received. Local program operators should determine the appropriate level and balance of services under the youth and adult programs. This determination should be driven by program design and services provided. </w:t>
      </w:r>
      <w:r w:rsidR="00CE05A6">
        <w:rPr>
          <w:rStyle w:val="FootnoteReference"/>
          <w:rFonts w:ascii="Times New Roman" w:hAnsi="Times New Roman" w:cstheme="minorBidi"/>
          <w:color w:val="auto"/>
          <w:sz w:val="22"/>
          <w:szCs w:val="22"/>
        </w:rPr>
        <w:footnoteReference w:id="28"/>
      </w:r>
    </w:p>
    <w:p w:rsidR="00CE34E0" w:rsidRPr="00CE34E0" w:rsidRDefault="00CE34E0" w:rsidP="00CE34E0">
      <w:pPr>
        <w:pStyle w:val="Default"/>
        <w:numPr>
          <w:ilvl w:val="0"/>
          <w:numId w:val="21"/>
        </w:numPr>
        <w:jc w:val="both"/>
        <w:rPr>
          <w:rFonts w:ascii="Times New Roman" w:hAnsi="Times New Roman" w:cstheme="minorBidi"/>
          <w:color w:val="auto"/>
          <w:sz w:val="22"/>
          <w:szCs w:val="22"/>
        </w:rPr>
      </w:pPr>
      <w:r w:rsidRPr="00CE34E0">
        <w:rPr>
          <w:rFonts w:ascii="Times New Roman" w:hAnsi="Times New Roman" w:cstheme="minorBidi"/>
          <w:color w:val="auto"/>
          <w:sz w:val="22"/>
          <w:szCs w:val="22"/>
        </w:rPr>
        <w:t>Local program operators must identify and track the funding streams which pay the costs of services provided to individuals who are participating in youth and adult/dislocated worker programs concurrently, and ensure that services are not duplicated.</w:t>
      </w:r>
      <w:r w:rsidR="00CE05A6">
        <w:rPr>
          <w:rStyle w:val="FootnoteReference"/>
          <w:rFonts w:ascii="Times New Roman" w:hAnsi="Times New Roman" w:cstheme="minorBidi"/>
          <w:color w:val="auto"/>
          <w:sz w:val="22"/>
          <w:szCs w:val="22"/>
        </w:rPr>
        <w:footnoteReference w:id="29"/>
      </w:r>
    </w:p>
    <w:p w:rsidR="00CE34E0" w:rsidRDefault="00CE34E0" w:rsidP="00CE34E0">
      <w:pPr>
        <w:pStyle w:val="Default"/>
        <w:jc w:val="both"/>
        <w:rPr>
          <w:sz w:val="14"/>
          <w:szCs w:val="14"/>
        </w:rPr>
      </w:pPr>
    </w:p>
    <w:p w:rsidR="002A6F50" w:rsidRDefault="00CE34E0" w:rsidP="00CE34E0">
      <w:pPr>
        <w:spacing w:after="0" w:line="240" w:lineRule="auto"/>
        <w:jc w:val="both"/>
        <w:rPr>
          <w:rFonts w:eastAsia="+mn-ea" w:cs="Times New Roman"/>
          <w:bCs/>
          <w:color w:val="00607F"/>
          <w:kern w:val="24"/>
          <w:sz w:val="28"/>
          <w:szCs w:val="28"/>
        </w:rPr>
      </w:pPr>
      <w:r>
        <w:t>A local program should determine the appropriate program for the participant based on the service needs of the participant and if the participant is career-ready based on an objective</w:t>
      </w:r>
      <w:r w:rsidR="00CE05A6">
        <w:t xml:space="preserve"> assessment of their occupational skills, prior work experience, employability, and participants needs as required in Section 129(c)(1)(A) of WIOA.</w:t>
      </w:r>
      <w:r w:rsidR="00CE05A6" w:rsidRPr="00CE05A6">
        <w:rPr>
          <w:rStyle w:val="FootnoteReference"/>
          <w:rFonts w:eastAsia="+mn-ea" w:cs="Times New Roman"/>
          <w:bCs/>
          <w:kern w:val="24"/>
          <w:sz w:val="28"/>
          <w:szCs w:val="28"/>
        </w:rPr>
        <w:footnoteReference w:id="30"/>
      </w:r>
    </w:p>
    <w:p w:rsidR="00CE34E0" w:rsidRDefault="00CE34E0" w:rsidP="00CE34E0">
      <w:pPr>
        <w:spacing w:after="0" w:line="240" w:lineRule="auto"/>
        <w:jc w:val="both"/>
        <w:rPr>
          <w:rFonts w:eastAsia="+mn-ea" w:cs="Times New Roman"/>
          <w:bCs/>
          <w:color w:val="00607F"/>
          <w:kern w:val="24"/>
          <w:sz w:val="28"/>
          <w:szCs w:val="28"/>
        </w:rPr>
      </w:pPr>
    </w:p>
    <w:p w:rsidR="00CE05A6" w:rsidRPr="00CE05A6" w:rsidRDefault="00CE05A6" w:rsidP="00CE05A6">
      <w:pPr>
        <w:pStyle w:val="Default"/>
        <w:rPr>
          <w:rFonts w:ascii="Times New Roman" w:eastAsia="+mn-ea" w:hAnsi="Times New Roman" w:cs="Times New Roman"/>
          <w:bCs/>
          <w:color w:val="00607F"/>
          <w:kern w:val="24"/>
          <w:sz w:val="28"/>
          <w:szCs w:val="28"/>
          <w:u w:val="single"/>
        </w:rPr>
      </w:pPr>
      <w:r w:rsidRPr="00CE05A6">
        <w:rPr>
          <w:rFonts w:ascii="Times New Roman" w:eastAsia="+mn-ea" w:hAnsi="Times New Roman" w:cs="Times New Roman"/>
          <w:bCs/>
          <w:color w:val="00607F"/>
          <w:kern w:val="24"/>
          <w:sz w:val="28"/>
          <w:szCs w:val="28"/>
          <w:u w:val="single"/>
        </w:rPr>
        <w:t xml:space="preserve">Nondiscrimination </w:t>
      </w:r>
    </w:p>
    <w:p w:rsidR="00CE05A6" w:rsidRPr="00CE05A6" w:rsidRDefault="00CE05A6" w:rsidP="00CE05A6">
      <w:pPr>
        <w:pStyle w:val="Default"/>
        <w:rPr>
          <w:rFonts w:ascii="Times New Roman" w:hAnsi="Times New Roman" w:cs="Times New Roman"/>
          <w:sz w:val="22"/>
          <w:szCs w:val="22"/>
        </w:rPr>
      </w:pPr>
      <w:r w:rsidRPr="00CE05A6">
        <w:rPr>
          <w:rFonts w:ascii="Times New Roman" w:hAnsi="Times New Roman" w:cs="Times New Roman"/>
          <w:sz w:val="22"/>
          <w:szCs w:val="22"/>
        </w:rPr>
        <w:t>Section 188 of WIOA provides that no individual may be excluded from participation in, denied the benefits of, subjected to discrimination under, or denied employment in the administration of or in connection with, any such program or activity because of race, color, religion, sex, national origin, age, disability, or pol</w:t>
      </w:r>
      <w:r>
        <w:rPr>
          <w:rFonts w:ascii="Times New Roman" w:hAnsi="Times New Roman" w:cs="Times New Roman"/>
          <w:sz w:val="22"/>
          <w:szCs w:val="22"/>
        </w:rPr>
        <w:t>itical affiliation or belief.</w:t>
      </w:r>
      <w:r>
        <w:rPr>
          <w:rStyle w:val="FootnoteReference"/>
          <w:rFonts w:ascii="Times New Roman" w:hAnsi="Times New Roman" w:cs="Times New Roman"/>
          <w:sz w:val="22"/>
          <w:szCs w:val="22"/>
        </w:rPr>
        <w:footnoteReference w:id="31"/>
      </w:r>
    </w:p>
    <w:p w:rsidR="00CE05A6" w:rsidRPr="00CE05A6" w:rsidRDefault="00CE05A6" w:rsidP="00CE05A6">
      <w:pPr>
        <w:pStyle w:val="Default"/>
        <w:rPr>
          <w:rFonts w:ascii="Times New Roman" w:hAnsi="Times New Roman" w:cs="Times New Roman"/>
          <w:sz w:val="22"/>
          <w:szCs w:val="22"/>
        </w:rPr>
      </w:pPr>
    </w:p>
    <w:p w:rsidR="00CE34E0" w:rsidRPr="00CE05A6" w:rsidRDefault="00CE05A6" w:rsidP="00CE05A6">
      <w:pPr>
        <w:spacing w:after="0" w:line="240" w:lineRule="auto"/>
        <w:jc w:val="both"/>
        <w:rPr>
          <w:rFonts w:eastAsia="+mn-ea" w:cs="Times New Roman"/>
          <w:bCs/>
          <w:color w:val="00607F"/>
          <w:kern w:val="24"/>
          <w:sz w:val="28"/>
          <w:szCs w:val="28"/>
        </w:rPr>
      </w:pPr>
      <w:r w:rsidRPr="00CE05A6">
        <w:rPr>
          <w:rFonts w:cs="Times New Roman"/>
        </w:rPr>
        <w:t xml:space="preserve">Participation in programs and activities must also be available to citizens and nationals of the United States, lawfully admitted permanent resident aliens, refugees, </w:t>
      </w:r>
      <w:proofErr w:type="spellStart"/>
      <w:r w:rsidRPr="00CE05A6">
        <w:rPr>
          <w:rFonts w:cs="Times New Roman"/>
        </w:rPr>
        <w:t>asylees</w:t>
      </w:r>
      <w:proofErr w:type="spellEnd"/>
      <w:r w:rsidRPr="00CE05A6">
        <w:rPr>
          <w:rFonts w:cs="Times New Roman"/>
        </w:rPr>
        <w:t>, and parolees, and other immigrants authorized by the Attorney General to work in the United States. Individuals with employment authorization may access any WIOA services for which</w:t>
      </w:r>
      <w:r>
        <w:rPr>
          <w:rFonts w:cs="Times New Roman"/>
        </w:rPr>
        <w:t xml:space="preserve"> they otherwise would qualify.</w:t>
      </w:r>
      <w:r w:rsidRPr="00CE05A6">
        <w:rPr>
          <w:rStyle w:val="FootnoteReference"/>
          <w:rFonts w:eastAsia="+mn-ea" w:cs="Times New Roman"/>
          <w:bCs/>
          <w:kern w:val="24"/>
          <w:sz w:val="28"/>
          <w:szCs w:val="28"/>
        </w:rPr>
        <w:footnoteReference w:id="32"/>
      </w:r>
    </w:p>
    <w:p w:rsidR="00CE34E0" w:rsidRDefault="00CE34E0" w:rsidP="00CE34E0">
      <w:pPr>
        <w:spacing w:after="0" w:line="240" w:lineRule="auto"/>
        <w:jc w:val="both"/>
        <w:rPr>
          <w:rFonts w:eastAsia="+mn-ea" w:cs="Times New Roman"/>
          <w:bCs/>
          <w:color w:val="00607F"/>
          <w:kern w:val="24"/>
          <w:sz w:val="28"/>
          <w:szCs w:val="28"/>
        </w:rPr>
      </w:pPr>
    </w:p>
    <w:p w:rsidR="00CE05A6" w:rsidRDefault="00CE05A6" w:rsidP="00CE05A6">
      <w:pPr>
        <w:pStyle w:val="Default"/>
        <w:rPr>
          <w:b/>
          <w:bCs/>
          <w:sz w:val="22"/>
          <w:szCs w:val="22"/>
        </w:rPr>
      </w:pPr>
    </w:p>
    <w:p w:rsidR="00CE05A6" w:rsidRPr="00CE05A6" w:rsidRDefault="00CE05A6" w:rsidP="00CE05A6">
      <w:pPr>
        <w:pStyle w:val="Default"/>
        <w:rPr>
          <w:rFonts w:ascii="Times New Roman" w:eastAsia="+mn-ea" w:hAnsi="Times New Roman" w:cs="Times New Roman"/>
          <w:bCs/>
          <w:color w:val="00607F"/>
          <w:kern w:val="24"/>
          <w:sz w:val="28"/>
          <w:szCs w:val="28"/>
          <w:u w:val="single"/>
        </w:rPr>
      </w:pPr>
      <w:r w:rsidRPr="00CE05A6">
        <w:rPr>
          <w:rFonts w:ascii="Times New Roman" w:eastAsia="+mn-ea" w:hAnsi="Times New Roman" w:cs="Times New Roman"/>
          <w:bCs/>
          <w:color w:val="00607F"/>
          <w:kern w:val="24"/>
          <w:sz w:val="28"/>
          <w:szCs w:val="28"/>
          <w:u w:val="single"/>
        </w:rPr>
        <w:t xml:space="preserve">Verification of Lawful Presence </w:t>
      </w:r>
    </w:p>
    <w:p w:rsidR="00CE05A6" w:rsidRPr="00CE05A6" w:rsidRDefault="00CE05A6" w:rsidP="00CE05A6">
      <w:pPr>
        <w:pStyle w:val="Default"/>
        <w:rPr>
          <w:rFonts w:ascii="Times New Roman" w:hAnsi="Times New Roman" w:cs="Times New Roman"/>
          <w:sz w:val="22"/>
          <w:szCs w:val="22"/>
        </w:rPr>
      </w:pPr>
      <w:r w:rsidRPr="00CE05A6">
        <w:rPr>
          <w:rFonts w:ascii="Times New Roman" w:hAnsi="Times New Roman" w:cs="Times New Roman"/>
          <w:sz w:val="22"/>
          <w:szCs w:val="22"/>
        </w:rPr>
        <w:t xml:space="preserve">Each agency responsible for determining eligibility for WIOA benefits in Nebraska is required to: </w:t>
      </w:r>
    </w:p>
    <w:p w:rsidR="00CE05A6" w:rsidRPr="00CE05A6" w:rsidRDefault="00CE05A6" w:rsidP="00CE05A6">
      <w:pPr>
        <w:pStyle w:val="Default"/>
        <w:rPr>
          <w:rFonts w:ascii="Times New Roman" w:hAnsi="Times New Roman" w:cs="Times New Roman"/>
          <w:sz w:val="22"/>
          <w:szCs w:val="22"/>
        </w:rPr>
      </w:pPr>
    </w:p>
    <w:p w:rsidR="00CE05A6" w:rsidRPr="00CE05A6" w:rsidRDefault="00CE05A6" w:rsidP="00CE05A6">
      <w:pPr>
        <w:pStyle w:val="Default"/>
        <w:numPr>
          <w:ilvl w:val="0"/>
          <w:numId w:val="22"/>
        </w:numPr>
        <w:rPr>
          <w:rFonts w:ascii="Times New Roman" w:hAnsi="Times New Roman" w:cs="Times New Roman"/>
          <w:sz w:val="22"/>
          <w:szCs w:val="22"/>
        </w:rPr>
      </w:pPr>
      <w:r w:rsidRPr="00CE05A6">
        <w:rPr>
          <w:rFonts w:ascii="Times New Roman" w:hAnsi="Times New Roman" w:cs="Times New Roman"/>
          <w:sz w:val="22"/>
          <w:szCs w:val="22"/>
        </w:rPr>
        <w:t>Have each applicant for WIOA services attest that he or she is a U.S. citizen or a qualified alien. This must be done using the format prescribed by the Nebraska Department of Administrative Services (DAS).</w:t>
      </w:r>
      <w:r w:rsidRPr="00CE05A6">
        <w:rPr>
          <w:rStyle w:val="FootnoteReference"/>
          <w:rFonts w:ascii="Times New Roman" w:hAnsi="Times New Roman" w:cs="Times New Roman"/>
          <w:sz w:val="22"/>
          <w:szCs w:val="22"/>
        </w:rPr>
        <w:footnoteReference w:id="33"/>
      </w:r>
    </w:p>
    <w:p w:rsidR="00CE05A6" w:rsidRPr="00CE05A6" w:rsidRDefault="00CE05A6" w:rsidP="00CE05A6">
      <w:pPr>
        <w:pStyle w:val="Default"/>
        <w:ind w:left="1440"/>
        <w:rPr>
          <w:rFonts w:ascii="Times New Roman" w:hAnsi="Times New Roman" w:cs="Times New Roman"/>
          <w:sz w:val="22"/>
          <w:szCs w:val="22"/>
        </w:rPr>
      </w:pPr>
    </w:p>
    <w:p w:rsidR="00CE05A6" w:rsidRPr="00CE05A6" w:rsidRDefault="00CE05A6" w:rsidP="00CE05A6">
      <w:pPr>
        <w:pStyle w:val="Default"/>
        <w:ind w:left="1440"/>
        <w:rPr>
          <w:rFonts w:ascii="Times New Roman" w:hAnsi="Times New Roman" w:cs="Times New Roman"/>
          <w:sz w:val="22"/>
          <w:szCs w:val="22"/>
        </w:rPr>
      </w:pPr>
      <w:r w:rsidRPr="00CE05A6">
        <w:rPr>
          <w:rFonts w:ascii="Times New Roman" w:hAnsi="Times New Roman" w:cs="Times New Roman"/>
          <w:sz w:val="22"/>
          <w:szCs w:val="22"/>
        </w:rPr>
        <w:t xml:space="preserve">If in the above Step 1, the applicant indicates he or she is an alien, then complete Step 2 as follows: </w:t>
      </w:r>
    </w:p>
    <w:p w:rsidR="00CE05A6" w:rsidRPr="00CE05A6" w:rsidRDefault="00CE05A6" w:rsidP="00CE05A6">
      <w:pPr>
        <w:pStyle w:val="Default"/>
        <w:rPr>
          <w:rFonts w:ascii="Times New Roman" w:hAnsi="Times New Roman" w:cs="Times New Roman"/>
        </w:rPr>
      </w:pPr>
    </w:p>
    <w:p w:rsidR="00CE05A6" w:rsidRDefault="00CE05A6" w:rsidP="00CE05A6">
      <w:pPr>
        <w:pStyle w:val="Default"/>
        <w:numPr>
          <w:ilvl w:val="0"/>
          <w:numId w:val="22"/>
        </w:numPr>
        <w:rPr>
          <w:rFonts w:ascii="Times New Roman" w:hAnsi="Times New Roman" w:cs="Times New Roman"/>
          <w:sz w:val="22"/>
          <w:szCs w:val="22"/>
        </w:rPr>
      </w:pPr>
      <w:r w:rsidRPr="00CE05A6">
        <w:rPr>
          <w:rFonts w:ascii="Times New Roman" w:hAnsi="Times New Roman" w:cs="Times New Roman"/>
          <w:sz w:val="22"/>
          <w:szCs w:val="22"/>
        </w:rPr>
        <w:t xml:space="preserve">Verify his or her lawful presence in the United States using the SAVE (Systematic Alien Verification for Entitlements) Program operated by the U.S. Department of Homeland Security. </w:t>
      </w:r>
    </w:p>
    <w:p w:rsidR="00CE05A6" w:rsidRPr="00CE05A6" w:rsidRDefault="00CE05A6" w:rsidP="00CE05A6">
      <w:pPr>
        <w:pStyle w:val="Default"/>
        <w:ind w:left="360"/>
        <w:rPr>
          <w:rFonts w:ascii="Times New Roman" w:eastAsia="+mn-ea" w:hAnsi="Times New Roman" w:cs="Times New Roman"/>
          <w:bCs/>
          <w:color w:val="00607F"/>
          <w:kern w:val="24"/>
          <w:sz w:val="28"/>
          <w:szCs w:val="28"/>
          <w:u w:val="single"/>
        </w:rPr>
      </w:pPr>
    </w:p>
    <w:p w:rsidR="00CE05A6" w:rsidRPr="00CE05A6" w:rsidRDefault="00CE05A6" w:rsidP="00CE05A6">
      <w:pPr>
        <w:pStyle w:val="Default"/>
        <w:rPr>
          <w:rFonts w:ascii="Times New Roman" w:eastAsia="+mn-ea" w:hAnsi="Times New Roman" w:cs="Times New Roman"/>
          <w:bCs/>
          <w:color w:val="00607F"/>
          <w:kern w:val="24"/>
          <w:sz w:val="28"/>
          <w:szCs w:val="28"/>
          <w:u w:val="single"/>
        </w:rPr>
      </w:pPr>
      <w:r w:rsidRPr="00CE05A6">
        <w:rPr>
          <w:rFonts w:ascii="Times New Roman" w:eastAsia="+mn-ea" w:hAnsi="Times New Roman" w:cs="Times New Roman"/>
          <w:bCs/>
          <w:color w:val="00607F"/>
          <w:kern w:val="24"/>
          <w:sz w:val="28"/>
          <w:szCs w:val="28"/>
          <w:u w:val="single"/>
        </w:rPr>
        <w:t xml:space="preserve">Enforcement of Military Selective Service Act </w:t>
      </w:r>
    </w:p>
    <w:p w:rsidR="00CE05A6" w:rsidRPr="00CE05A6" w:rsidRDefault="00CE05A6" w:rsidP="00CE05A6">
      <w:pPr>
        <w:pStyle w:val="Default"/>
        <w:rPr>
          <w:rFonts w:ascii="Times New Roman" w:hAnsi="Times New Roman" w:cs="Times New Roman"/>
          <w:sz w:val="22"/>
          <w:szCs w:val="22"/>
        </w:rPr>
      </w:pPr>
      <w:r w:rsidRPr="00CE05A6">
        <w:rPr>
          <w:rFonts w:ascii="Times New Roman" w:hAnsi="Times New Roman" w:cs="Times New Roman"/>
          <w:sz w:val="22"/>
          <w:szCs w:val="22"/>
        </w:rPr>
        <w:t>Local programs shall ensure that each individual participating in any program established under Title I of WIOA or receiving any assistance or benefit under such Title, has not violated Section 3 of the Military Selective Services Act (50 U.S.C. App. 453) by not presenting and submitting to registration as required pursuant to such Section.</w:t>
      </w:r>
      <w:r w:rsidRPr="00CE05A6">
        <w:rPr>
          <w:rStyle w:val="FootnoteReference"/>
          <w:rFonts w:ascii="Times New Roman" w:hAnsi="Times New Roman" w:cs="Times New Roman"/>
          <w:sz w:val="22"/>
          <w:szCs w:val="22"/>
        </w:rPr>
        <w:footnoteReference w:id="34"/>
      </w:r>
    </w:p>
    <w:p w:rsidR="00CE05A6" w:rsidRPr="00685C25" w:rsidRDefault="00CE05A6" w:rsidP="00CE34E0">
      <w:pPr>
        <w:spacing w:after="0" w:line="240" w:lineRule="auto"/>
        <w:jc w:val="both"/>
        <w:rPr>
          <w:rFonts w:eastAsia="Times New Roman" w:cs="Times New Roman"/>
        </w:rPr>
      </w:pPr>
    </w:p>
    <w:p w:rsidR="00685C25" w:rsidRPr="00685C25" w:rsidRDefault="00685C25" w:rsidP="00CE34E0">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CE34E0">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Default="00CE05A6" w:rsidP="00CE34E0">
      <w:pPr>
        <w:jc w:val="both"/>
      </w:pPr>
    </w:p>
    <w:p w:rsidR="00CE05A6" w:rsidRPr="00CE05A6" w:rsidRDefault="00CE05A6" w:rsidP="00CE05A6">
      <w:pPr>
        <w:pStyle w:val="Default"/>
        <w:rPr>
          <w:rFonts w:ascii="Times New Roman" w:eastAsia="+mn-ea" w:hAnsi="Times New Roman" w:cs="Times New Roman"/>
          <w:bCs/>
          <w:color w:val="00607F"/>
          <w:kern w:val="24"/>
          <w:sz w:val="28"/>
          <w:szCs w:val="28"/>
          <w:u w:val="single"/>
        </w:rPr>
      </w:pPr>
      <w:r w:rsidRPr="00CE05A6">
        <w:rPr>
          <w:rFonts w:ascii="Times New Roman" w:eastAsia="+mn-ea" w:hAnsi="Times New Roman" w:cs="Times New Roman"/>
          <w:bCs/>
          <w:color w:val="00607F"/>
          <w:kern w:val="24"/>
          <w:sz w:val="28"/>
          <w:szCs w:val="28"/>
          <w:u w:val="single"/>
        </w:rPr>
        <w:t xml:space="preserve">Nebraska’s Census Tracts Meeting “High Poverty” Definition </w:t>
      </w:r>
    </w:p>
    <w:p w:rsidR="00CE05A6" w:rsidRDefault="00CE05A6" w:rsidP="00CE05A6">
      <w:pPr>
        <w:jc w:val="both"/>
      </w:pPr>
      <w:r>
        <w:rPr>
          <w:sz w:val="23"/>
          <w:szCs w:val="23"/>
        </w:rPr>
        <w:t>(30% or more of Household at or below the Poverty Line</w:t>
      </w:r>
      <w:r>
        <w:t>)</w:t>
      </w:r>
    </w:p>
    <w:p w:rsidR="00CE05A6" w:rsidRDefault="00CE05A6" w:rsidP="00CE05A6">
      <w:pPr>
        <w:jc w:val="both"/>
      </w:pPr>
      <w:bookmarkStart w:id="0" w:name="_GoBack"/>
      <w:bookmarkEnd w:id="0"/>
    </w:p>
    <w:p w:rsidR="00CE05A6" w:rsidRPr="00256110" w:rsidRDefault="00CE05A6" w:rsidP="00CE05A6">
      <w:pPr>
        <w:spacing w:after="0" w:line="240" w:lineRule="auto"/>
        <w:jc w:val="both"/>
        <w:rPr>
          <w:rFonts w:eastAsia="Times New Roman" w:cs="Times New Roman"/>
          <w:i/>
        </w:rPr>
      </w:pPr>
      <w:r>
        <w:rPr>
          <w:rFonts w:eastAsia="Times New Roman" w:cs="Times New Roman"/>
          <w:i/>
        </w:rPr>
        <w:t>Table 1</w:t>
      </w:r>
      <w:r w:rsidRPr="00256110">
        <w:rPr>
          <w:rFonts w:eastAsia="Times New Roman" w:cs="Times New Roman"/>
          <w:i/>
        </w:rPr>
        <w:t>. Greater Nebraska Workforce Development Area high poverty census tracts</w:t>
      </w:r>
      <w:r w:rsidR="00BC7B90" w:rsidRPr="00A449CC">
        <w:rPr>
          <w:rFonts w:eastAsia="Times New Roman" w:cs="Times New Roman"/>
          <w:i/>
        </w:rPr>
        <w:t>. For the most up to date information visit http://factfinder.census.gov</w:t>
      </w:r>
      <w:r w:rsidR="00AC70C0" w:rsidRPr="00A449CC">
        <w:rPr>
          <w:rFonts w:eastAsia="Times New Roman" w:cs="Times New Roman"/>
          <w:i/>
        </w:rPr>
        <w:t>.</w:t>
      </w:r>
    </w:p>
    <w:tbl>
      <w:tblPr>
        <w:tblStyle w:val="GridTable4-Accent1"/>
        <w:tblW w:w="5000" w:type="pct"/>
        <w:tblLook w:val="04A0" w:firstRow="1" w:lastRow="0" w:firstColumn="1" w:lastColumn="0" w:noHBand="0" w:noVBand="1"/>
        <w:tblCaption w:val="Greater Nebraska Workforce Development Area"/>
        <w:tblDescription w:val="This table lists the census tracts in the Greater Nebraska Workforce Development Area that are classified as high-poverty areas."/>
      </w:tblPr>
      <w:tblGrid>
        <w:gridCol w:w="4912"/>
        <w:gridCol w:w="1195"/>
        <w:gridCol w:w="2027"/>
        <w:gridCol w:w="1216"/>
      </w:tblGrid>
      <w:tr w:rsidR="00CE05A6" w:rsidRPr="00EB3E29" w:rsidTr="00392C4F">
        <w:trPr>
          <w:cnfStyle w:val="100000000000" w:firstRow="1" w:lastRow="0" w:firstColumn="0" w:lastColumn="0" w:oddVBand="0" w:evenVBand="0" w:oddHBand="0" w:evenHBand="0" w:firstRowFirstColumn="0" w:firstRowLastColumn="0" w:lastRowFirstColumn="0" w:lastRowLastColumn="0"/>
          <w:trHeight w:val="603"/>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rsidR="00CE05A6" w:rsidRPr="00EB3E29" w:rsidRDefault="00CE05A6" w:rsidP="00392C4F">
            <w:pPr>
              <w:rPr>
                <w:color w:val="000000"/>
              </w:rPr>
            </w:pPr>
            <w:r w:rsidRPr="00EB3E29">
              <w:rPr>
                <w:color w:val="000000"/>
              </w:rPr>
              <w:t>Census Tract</w:t>
            </w:r>
          </w:p>
        </w:tc>
        <w:tc>
          <w:tcPr>
            <w:tcW w:w="639" w:type="pct"/>
            <w:vAlign w:val="center"/>
            <w:hideMark/>
          </w:tcPr>
          <w:p w:rsidR="00CE05A6" w:rsidRPr="00EB3E29"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Estimated Number</w:t>
            </w:r>
          </w:p>
        </w:tc>
        <w:tc>
          <w:tcPr>
            <w:tcW w:w="1084" w:type="pct"/>
            <w:vAlign w:val="center"/>
            <w:hideMark/>
          </w:tcPr>
          <w:p w:rsidR="00CE05A6" w:rsidRPr="00EB3E29"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Estimated Number Below Poverty</w:t>
            </w:r>
          </w:p>
        </w:tc>
        <w:tc>
          <w:tcPr>
            <w:tcW w:w="650" w:type="pct"/>
            <w:vAlign w:val="center"/>
            <w:hideMark/>
          </w:tcPr>
          <w:p w:rsidR="00CE05A6" w:rsidRPr="00EB3E29" w:rsidRDefault="00CE05A6" w:rsidP="00392C4F">
            <w:pPr>
              <w:jc w:val="center"/>
              <w:cnfStyle w:val="100000000000" w:firstRow="1" w:lastRow="0" w:firstColumn="0" w:lastColumn="0" w:oddVBand="0" w:evenVBand="0" w:oddHBand="0" w:evenHBand="0" w:firstRowFirstColumn="0" w:firstRowLastColumn="0" w:lastRowFirstColumn="0" w:lastRowLastColumn="0"/>
              <w:rPr>
                <w:color w:val="000000"/>
              </w:rPr>
            </w:pPr>
            <w:r w:rsidRPr="00EB3E29">
              <w:rPr>
                <w:color w:val="000000"/>
              </w:rPr>
              <w:t>Percent Below Poverty</w:t>
            </w:r>
          </w:p>
        </w:tc>
      </w:tr>
      <w:tr w:rsidR="00CE05A6" w:rsidRPr="00EB3E29" w:rsidTr="00392C4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CE05A6" w:rsidRPr="00EB3E29" w:rsidRDefault="00CE05A6" w:rsidP="00392C4F">
            <w:pPr>
              <w:rPr>
                <w:color w:val="000000"/>
              </w:rPr>
            </w:pPr>
            <w:r w:rsidRPr="00EB3E29">
              <w:rPr>
                <w:color w:val="000000"/>
              </w:rPr>
              <w:t>Census Tract 101, Dakota County, Nebraska</w:t>
            </w:r>
          </w:p>
        </w:tc>
        <w:tc>
          <w:tcPr>
            <w:tcW w:w="639" w:type="pct"/>
            <w:noWrap/>
            <w:hideMark/>
          </w:tcPr>
          <w:p w:rsidR="00CE05A6" w:rsidRPr="00EB3E29"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2,238</w:t>
            </w:r>
          </w:p>
        </w:tc>
        <w:tc>
          <w:tcPr>
            <w:tcW w:w="1084" w:type="pct"/>
            <w:noWrap/>
            <w:hideMark/>
          </w:tcPr>
          <w:p w:rsidR="00CE05A6" w:rsidRPr="00EB3E29"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863</w:t>
            </w:r>
          </w:p>
        </w:tc>
        <w:tc>
          <w:tcPr>
            <w:tcW w:w="650" w:type="pct"/>
            <w:noWrap/>
            <w:hideMark/>
          </w:tcPr>
          <w:p w:rsidR="00CE05A6" w:rsidRPr="00EB3E29" w:rsidRDefault="00CE05A6" w:rsidP="00392C4F">
            <w:pPr>
              <w:jc w:val="right"/>
              <w:cnfStyle w:val="000000100000" w:firstRow="0" w:lastRow="0" w:firstColumn="0" w:lastColumn="0" w:oddVBand="0" w:evenVBand="0" w:oddHBand="1" w:evenHBand="0" w:firstRowFirstColumn="0" w:firstRowLastColumn="0" w:lastRowFirstColumn="0" w:lastRowLastColumn="0"/>
              <w:rPr>
                <w:color w:val="000000"/>
              </w:rPr>
            </w:pPr>
            <w:r w:rsidRPr="00EB3E29">
              <w:rPr>
                <w:color w:val="000000"/>
              </w:rPr>
              <w:t>38.56%</w:t>
            </w:r>
          </w:p>
        </w:tc>
      </w:tr>
      <w:tr w:rsidR="00CE05A6" w:rsidRPr="00EB3E29" w:rsidTr="00392C4F">
        <w:trPr>
          <w:trHeight w:val="300"/>
        </w:trPr>
        <w:tc>
          <w:tcPr>
            <w:cnfStyle w:val="001000000000" w:firstRow="0" w:lastRow="0" w:firstColumn="1" w:lastColumn="0" w:oddVBand="0" w:evenVBand="0" w:oddHBand="0" w:evenHBand="0" w:firstRowFirstColumn="0" w:firstRowLastColumn="0" w:lastRowFirstColumn="0" w:lastRowLastColumn="0"/>
            <w:tcW w:w="2627" w:type="pct"/>
            <w:noWrap/>
            <w:hideMark/>
          </w:tcPr>
          <w:p w:rsidR="00CE05A6" w:rsidRPr="00EB3E29" w:rsidRDefault="00CE05A6" w:rsidP="00392C4F">
            <w:pPr>
              <w:rPr>
                <w:color w:val="000000"/>
              </w:rPr>
            </w:pPr>
            <w:r w:rsidRPr="00EB3E29">
              <w:rPr>
                <w:color w:val="000000"/>
              </w:rPr>
              <w:t>Census Tract 9696, Buffalo County, Nebraska</w:t>
            </w:r>
          </w:p>
        </w:tc>
        <w:tc>
          <w:tcPr>
            <w:tcW w:w="639" w:type="pct"/>
            <w:noWrap/>
            <w:hideMark/>
          </w:tcPr>
          <w:p w:rsidR="00CE05A6" w:rsidRPr="00EB3E29"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1,644</w:t>
            </w:r>
          </w:p>
        </w:tc>
        <w:tc>
          <w:tcPr>
            <w:tcW w:w="1084" w:type="pct"/>
            <w:noWrap/>
            <w:hideMark/>
          </w:tcPr>
          <w:p w:rsidR="00CE05A6" w:rsidRPr="00EB3E29"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517</w:t>
            </w:r>
          </w:p>
        </w:tc>
        <w:tc>
          <w:tcPr>
            <w:tcW w:w="650" w:type="pct"/>
            <w:noWrap/>
            <w:hideMark/>
          </w:tcPr>
          <w:p w:rsidR="00CE05A6" w:rsidRPr="00EB3E29" w:rsidRDefault="00CE05A6" w:rsidP="00392C4F">
            <w:pPr>
              <w:jc w:val="right"/>
              <w:cnfStyle w:val="000000000000" w:firstRow="0" w:lastRow="0" w:firstColumn="0" w:lastColumn="0" w:oddVBand="0" w:evenVBand="0" w:oddHBand="0" w:evenHBand="0" w:firstRowFirstColumn="0" w:firstRowLastColumn="0" w:lastRowFirstColumn="0" w:lastRowLastColumn="0"/>
              <w:rPr>
                <w:color w:val="000000"/>
              </w:rPr>
            </w:pPr>
            <w:r w:rsidRPr="00EB3E29">
              <w:rPr>
                <w:color w:val="000000"/>
              </w:rPr>
              <w:t>31.45%</w:t>
            </w:r>
          </w:p>
        </w:tc>
      </w:tr>
    </w:tbl>
    <w:p w:rsidR="00CE05A6" w:rsidRPr="00EB3E29" w:rsidRDefault="00CE05A6" w:rsidP="00CE05A6">
      <w:pPr>
        <w:spacing w:after="0" w:line="240" w:lineRule="auto"/>
        <w:jc w:val="both"/>
        <w:rPr>
          <w:rFonts w:eastAsia="Times New Roman" w:cs="Times New Roman"/>
          <w:color w:val="000000"/>
        </w:rPr>
      </w:pPr>
    </w:p>
    <w:p w:rsidR="00CE05A6" w:rsidRDefault="00CE05A6" w:rsidP="00CE05A6">
      <w:pPr>
        <w:jc w:val="both"/>
      </w:pPr>
    </w:p>
    <w:sectPr w:rsidR="00CE05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A449CC">
              <w:rPr>
                <w:b/>
                <w:bCs/>
                <w:noProof/>
                <w:sz w:val="20"/>
                <w:szCs w:val="20"/>
              </w:rPr>
              <w:t>12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A449CC">
              <w:rPr>
                <w:b/>
                <w:bCs/>
                <w:noProof/>
                <w:sz w:val="20"/>
                <w:szCs w:val="20"/>
              </w:rPr>
              <w:t>12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 w:id="1">
    <w:p w:rsidR="00F63D67" w:rsidRPr="000F6E18" w:rsidRDefault="00F63D67">
      <w:pPr>
        <w:pStyle w:val="FootnoteText"/>
        <w:rPr>
          <w:rFonts w:ascii="Times New Roman" w:hAnsi="Times New Roman"/>
        </w:rPr>
      </w:pPr>
      <w:r>
        <w:rPr>
          <w:rStyle w:val="FootnoteReference"/>
        </w:rPr>
        <w:footnoteRef/>
      </w:r>
      <w:r>
        <w:t xml:space="preserve"> </w:t>
      </w:r>
      <w:r w:rsidRPr="000F6E18">
        <w:rPr>
          <w:rFonts w:ascii="Times New Roman" w:hAnsi="Times New Roman"/>
        </w:rPr>
        <w:t>WIOA Section 134(c)(2)</w:t>
      </w:r>
    </w:p>
  </w:footnote>
  <w:footnote w:id="2">
    <w:p w:rsidR="00F63D67" w:rsidRDefault="00F63D67">
      <w:pPr>
        <w:pStyle w:val="FootnoteText"/>
      </w:pPr>
      <w:r w:rsidRPr="000F6E18">
        <w:rPr>
          <w:rStyle w:val="FootnoteReference"/>
          <w:rFonts w:ascii="Times New Roman" w:hAnsi="Times New Roman"/>
        </w:rPr>
        <w:footnoteRef/>
      </w:r>
      <w:r w:rsidRPr="000F6E18">
        <w:rPr>
          <w:rFonts w:ascii="Times New Roman" w:hAnsi="Times New Roman"/>
        </w:rPr>
        <w:t xml:space="preserve"> WIOA Section 134(c)(3)(E)</w:t>
      </w:r>
      <w:r>
        <w:t xml:space="preserve">  </w:t>
      </w:r>
    </w:p>
  </w:footnote>
  <w:footnote w:id="3">
    <w:p w:rsidR="000F6E18" w:rsidRPr="0030226D" w:rsidRDefault="000F6E18">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134(c)(3)(G)(iii)  </w:t>
      </w:r>
    </w:p>
  </w:footnote>
  <w:footnote w:id="4">
    <w:p w:rsidR="00060F36" w:rsidRPr="0030226D" w:rsidRDefault="00060F3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134(c)(3)(A)(ii)  </w:t>
      </w:r>
    </w:p>
  </w:footnote>
  <w:footnote w:id="5">
    <w:p w:rsidR="00060F36" w:rsidRPr="0030226D" w:rsidRDefault="00060F3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680.210  </w:t>
      </w:r>
    </w:p>
  </w:footnote>
  <w:footnote w:id="6">
    <w:p w:rsidR="00060F36" w:rsidRDefault="00060F36">
      <w:pPr>
        <w:pStyle w:val="FootnoteText"/>
      </w:pPr>
      <w:r w:rsidRPr="0030226D">
        <w:rPr>
          <w:rStyle w:val="FootnoteReference"/>
          <w:rFonts w:ascii="Times New Roman" w:hAnsi="Times New Roman"/>
        </w:rPr>
        <w:footnoteRef/>
      </w:r>
      <w:r w:rsidRPr="0030226D">
        <w:rPr>
          <w:rFonts w:ascii="Times New Roman" w:hAnsi="Times New Roman"/>
        </w:rPr>
        <w:t xml:space="preserve"> WIOA Section 134(c)(3)(B)(</w:t>
      </w:r>
      <w:proofErr w:type="spellStart"/>
      <w:r w:rsidRPr="0030226D">
        <w:rPr>
          <w:rFonts w:ascii="Times New Roman" w:hAnsi="Times New Roman"/>
        </w:rPr>
        <w:t>i</w:t>
      </w:r>
      <w:proofErr w:type="spellEnd"/>
      <w:r w:rsidRPr="0030226D">
        <w:rPr>
          <w:rFonts w:ascii="Times New Roman" w:hAnsi="Times New Roman"/>
        </w:rPr>
        <w:t>)</w:t>
      </w:r>
      <w:r>
        <w:t xml:space="preserve">  </w:t>
      </w:r>
    </w:p>
  </w:footnote>
  <w:footnote w:id="7">
    <w:p w:rsidR="00060F36" w:rsidRPr="00060F36" w:rsidRDefault="00060F36">
      <w:pPr>
        <w:pStyle w:val="FootnoteText"/>
        <w:rPr>
          <w:rFonts w:ascii="Times New Roman" w:hAnsi="Times New Roman"/>
        </w:rPr>
      </w:pPr>
      <w:r w:rsidRPr="00060F36">
        <w:rPr>
          <w:rStyle w:val="FootnoteReference"/>
          <w:rFonts w:ascii="Times New Roman" w:hAnsi="Times New Roman"/>
        </w:rPr>
        <w:footnoteRef/>
      </w:r>
      <w:r w:rsidRPr="00060F36">
        <w:rPr>
          <w:rFonts w:ascii="Times New Roman" w:hAnsi="Times New Roman"/>
        </w:rPr>
        <w:t xml:space="preserve"> 20 CFR § 680.220(b)  </w:t>
      </w:r>
    </w:p>
  </w:footnote>
  <w:footnote w:id="8">
    <w:p w:rsidR="00060F36" w:rsidRPr="00060F36" w:rsidRDefault="00060F36">
      <w:pPr>
        <w:pStyle w:val="FootnoteText"/>
        <w:rPr>
          <w:rFonts w:ascii="Times New Roman" w:hAnsi="Times New Roman"/>
        </w:rPr>
      </w:pPr>
      <w:r w:rsidRPr="00060F36">
        <w:rPr>
          <w:rStyle w:val="FootnoteReference"/>
          <w:rFonts w:ascii="Times New Roman" w:hAnsi="Times New Roman"/>
        </w:rPr>
        <w:footnoteRef/>
      </w:r>
      <w:r w:rsidRPr="00060F36">
        <w:rPr>
          <w:rFonts w:ascii="Times New Roman" w:hAnsi="Times New Roman"/>
        </w:rPr>
        <w:t xml:space="preserve"> 20 CFR § 680.220(c)  </w:t>
      </w:r>
    </w:p>
  </w:footnote>
  <w:footnote w:id="9">
    <w:p w:rsidR="00A44BD2" w:rsidRPr="0030226D" w:rsidRDefault="00A44BD2">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(a)(3)(A)(xii)  </w:t>
      </w:r>
    </w:p>
  </w:footnote>
  <w:footnote w:id="10">
    <w:p w:rsidR="00A44BD2" w:rsidRDefault="00A44BD2">
      <w:pPr>
        <w:pStyle w:val="FootnoteText"/>
      </w:pPr>
      <w:r w:rsidRPr="0030226D">
        <w:rPr>
          <w:rStyle w:val="FootnoteReference"/>
          <w:rFonts w:ascii="Times New Roman" w:hAnsi="Times New Roman"/>
        </w:rPr>
        <w:footnoteRef/>
      </w:r>
      <w:r w:rsidRPr="0030226D">
        <w:rPr>
          <w:rFonts w:ascii="Times New Roman" w:hAnsi="Times New Roman"/>
        </w:rPr>
        <w:t xml:space="preserve"> WIOA Section 134(d)</w:t>
      </w:r>
      <w:r>
        <w:t xml:space="preserve">  </w:t>
      </w:r>
    </w:p>
  </w:footnote>
  <w:footnote w:id="11">
    <w:p w:rsidR="00A44BD2" w:rsidRPr="0030226D" w:rsidRDefault="00A44BD2">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134(c)(3)(A)(iii)  </w:t>
      </w:r>
    </w:p>
  </w:footnote>
  <w:footnote w:id="12">
    <w:p w:rsidR="00A44BD2" w:rsidRPr="0030226D" w:rsidRDefault="00A44BD2">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134(d)(1)(B)  </w:t>
      </w:r>
    </w:p>
  </w:footnote>
  <w:footnote w:id="13">
    <w:p w:rsidR="00A44BD2" w:rsidRPr="0030226D" w:rsidRDefault="00A44BD2">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680.140  </w:t>
      </w:r>
    </w:p>
  </w:footnote>
  <w:footnote w:id="14">
    <w:p w:rsidR="00A44BD2" w:rsidRPr="0030226D" w:rsidRDefault="00A44BD2">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134(d)(2)  </w:t>
      </w:r>
    </w:p>
  </w:footnote>
  <w:footnote w:id="15">
    <w:p w:rsidR="00CB4E93" w:rsidRPr="0030226D" w:rsidRDefault="00CB4E93">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680.650  </w:t>
      </w:r>
    </w:p>
  </w:footnote>
  <w:footnote w:id="16">
    <w:p w:rsidR="00CB4E93" w:rsidRDefault="00CB4E93">
      <w:pPr>
        <w:pStyle w:val="FootnoteText"/>
      </w:pPr>
      <w:r w:rsidRPr="0030226D">
        <w:rPr>
          <w:rStyle w:val="FootnoteReference"/>
          <w:rFonts w:ascii="Times New Roman" w:hAnsi="Times New Roman"/>
        </w:rPr>
        <w:footnoteRef/>
      </w:r>
      <w:r w:rsidRPr="0030226D">
        <w:rPr>
          <w:rFonts w:ascii="Times New Roman" w:hAnsi="Times New Roman"/>
        </w:rPr>
        <w:t xml:space="preserve"> 20 CFR § 680.650</w:t>
      </w:r>
      <w:r>
        <w:t xml:space="preserve">  </w:t>
      </w:r>
    </w:p>
  </w:footnote>
  <w:footnote w:id="17">
    <w:p w:rsidR="00CB4E93" w:rsidRPr="0030226D" w:rsidRDefault="00CB4E93">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38 U.S.C. § 4215(a)(1)  </w:t>
      </w:r>
    </w:p>
  </w:footnote>
  <w:footnote w:id="18">
    <w:p w:rsidR="00CB4E93" w:rsidRPr="0030226D" w:rsidRDefault="00CB4E93">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38 U.S.C. §§ 101(21), (24)  </w:t>
      </w:r>
    </w:p>
  </w:footnote>
  <w:footnote w:id="19">
    <w:p w:rsidR="00CB4E93" w:rsidRPr="0030226D" w:rsidRDefault="00CB4E93">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38 U.S.C. § 4215(a)(1)(B)  </w:t>
      </w:r>
    </w:p>
  </w:footnote>
  <w:footnote w:id="20">
    <w:p w:rsidR="00CB4E93" w:rsidRPr="0030226D" w:rsidRDefault="00CB4E93">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38 U.S.C. § 4215(a)(3)  </w:t>
      </w:r>
    </w:p>
  </w:footnote>
  <w:footnote w:id="21">
    <w:p w:rsidR="002A6F50" w:rsidRPr="0030226D" w:rsidRDefault="002A6F50">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680.650  </w:t>
      </w:r>
    </w:p>
  </w:footnote>
  <w:footnote w:id="22">
    <w:p w:rsidR="002A6F50" w:rsidRPr="0030226D" w:rsidRDefault="002A6F50">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683.230  </w:t>
      </w:r>
    </w:p>
  </w:footnote>
  <w:footnote w:id="23">
    <w:p w:rsidR="00C20A48" w:rsidRDefault="00C20A48">
      <w:pPr>
        <w:pStyle w:val="FootnoteText"/>
      </w:pPr>
      <w:r w:rsidRPr="0030226D">
        <w:rPr>
          <w:rStyle w:val="FootnoteReference"/>
          <w:rFonts w:ascii="Times New Roman" w:hAnsi="Times New Roman"/>
        </w:rPr>
        <w:footnoteRef/>
      </w:r>
      <w:r w:rsidRPr="0030226D">
        <w:rPr>
          <w:rFonts w:ascii="Times New Roman" w:hAnsi="Times New Roman"/>
        </w:rPr>
        <w:t xml:space="preserve"> 20 CFR § 680.110(b)</w:t>
      </w:r>
      <w:r>
        <w:t xml:space="preserve">  </w:t>
      </w:r>
    </w:p>
  </w:footnote>
  <w:footnote w:id="24">
    <w:p w:rsidR="00C20A48" w:rsidRPr="0030226D" w:rsidRDefault="00C20A48">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680.110(c)  </w:t>
      </w:r>
    </w:p>
  </w:footnote>
  <w:footnote w:id="25">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3(2)  </w:t>
      </w:r>
    </w:p>
  </w:footnote>
  <w:footnote w:id="26">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129(a)(1)(C)  </w:t>
      </w:r>
    </w:p>
  </w:footnote>
  <w:footnote w:id="27">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129(a)(1)(B)  </w:t>
      </w:r>
    </w:p>
  </w:footnote>
  <w:footnote w:id="28">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681.430(a)  </w:t>
      </w:r>
    </w:p>
  </w:footnote>
  <w:footnote w:id="29">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681.430(b)  </w:t>
      </w:r>
    </w:p>
  </w:footnote>
  <w:footnote w:id="30">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20 CFR § 681.440  </w:t>
      </w:r>
    </w:p>
  </w:footnote>
  <w:footnote w:id="31">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WIOA Section 188(a)(2)  </w:t>
      </w:r>
    </w:p>
  </w:footnote>
  <w:footnote w:id="32">
    <w:p w:rsidR="00CE05A6" w:rsidRDefault="00CE05A6">
      <w:pPr>
        <w:pStyle w:val="FootnoteText"/>
      </w:pPr>
      <w:r w:rsidRPr="0030226D">
        <w:rPr>
          <w:rStyle w:val="FootnoteReference"/>
          <w:rFonts w:ascii="Times New Roman" w:hAnsi="Times New Roman"/>
        </w:rPr>
        <w:footnoteRef/>
      </w:r>
      <w:r w:rsidRPr="0030226D">
        <w:rPr>
          <w:rFonts w:ascii="Times New Roman" w:hAnsi="Times New Roman"/>
        </w:rPr>
        <w:t xml:space="preserve"> WIOA Section 188(a)(5)</w:t>
      </w:r>
      <w:r>
        <w:t xml:space="preserve">  </w:t>
      </w:r>
    </w:p>
  </w:footnote>
  <w:footnote w:id="33">
    <w:p w:rsidR="00CE05A6" w:rsidRPr="0030226D" w:rsidRDefault="00CE05A6">
      <w:pPr>
        <w:pStyle w:val="FootnoteText"/>
        <w:rPr>
          <w:rFonts w:ascii="Times New Roman" w:hAnsi="Times New Roman"/>
        </w:rPr>
      </w:pPr>
      <w:r w:rsidRPr="0030226D">
        <w:rPr>
          <w:rStyle w:val="FootnoteReference"/>
          <w:rFonts w:ascii="Times New Roman" w:hAnsi="Times New Roman"/>
        </w:rPr>
        <w:footnoteRef/>
      </w:r>
      <w:r w:rsidRPr="0030226D">
        <w:rPr>
          <w:rFonts w:ascii="Times New Roman" w:hAnsi="Times New Roman"/>
        </w:rPr>
        <w:t xml:space="preserve"> Neb. Rev. Stat. § 4-108  </w:t>
      </w:r>
    </w:p>
  </w:footnote>
  <w:footnote w:id="34">
    <w:p w:rsidR="00CE05A6" w:rsidRDefault="00CE05A6">
      <w:pPr>
        <w:pStyle w:val="FootnoteText"/>
      </w:pPr>
      <w:r w:rsidRPr="0030226D">
        <w:rPr>
          <w:rStyle w:val="FootnoteReference"/>
          <w:rFonts w:ascii="Times New Roman" w:hAnsi="Times New Roman"/>
        </w:rPr>
        <w:footnoteRef/>
      </w:r>
      <w:r w:rsidRPr="0030226D">
        <w:rPr>
          <w:rFonts w:ascii="Times New Roman" w:hAnsi="Times New Roman"/>
        </w:rPr>
        <w:t xml:space="preserve"> WIOA Section 189(h)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02F6"/>
    <w:multiLevelType w:val="hybridMultilevel"/>
    <w:tmpl w:val="162AB106"/>
    <w:lvl w:ilvl="0" w:tplc="29841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3A91"/>
    <w:multiLevelType w:val="hybridMultilevel"/>
    <w:tmpl w:val="2F203D46"/>
    <w:lvl w:ilvl="0" w:tplc="B73AC95E">
      <w:start w:val="1"/>
      <w:numFmt w:val="decimal"/>
      <w:lvlText w:val="%1."/>
      <w:lvlJc w:val="left"/>
      <w:pPr>
        <w:ind w:left="720" w:hanging="360"/>
      </w:pPr>
      <w:rPr>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96873"/>
    <w:multiLevelType w:val="hybridMultilevel"/>
    <w:tmpl w:val="95C0795E"/>
    <w:lvl w:ilvl="0" w:tplc="B73AC95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1278"/>
    <w:multiLevelType w:val="hybridMultilevel"/>
    <w:tmpl w:val="74DC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24B9A"/>
    <w:multiLevelType w:val="hybridMultilevel"/>
    <w:tmpl w:val="1E88A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0048"/>
    <w:multiLevelType w:val="hybridMultilevel"/>
    <w:tmpl w:val="C21681C8"/>
    <w:lvl w:ilvl="0" w:tplc="B73AC95E">
      <w:start w:val="1"/>
      <w:numFmt w:val="decimal"/>
      <w:lvlText w:val="%1."/>
      <w:lvlJc w:val="left"/>
      <w:pPr>
        <w:ind w:left="720" w:hanging="360"/>
      </w:pPr>
      <w:rPr>
        <w:b w:val="0"/>
        <w:color w:val="auto"/>
        <w:sz w:val="22"/>
        <w:szCs w:val="22"/>
      </w:rPr>
    </w:lvl>
    <w:lvl w:ilvl="1" w:tplc="CA26CC10">
      <w:start w:val="1"/>
      <w:numFmt w:val="lowerLetter"/>
      <w:lvlText w:val="%2."/>
      <w:lvlJc w:val="left"/>
      <w:pPr>
        <w:ind w:left="1440" w:hanging="360"/>
      </w:pPr>
      <w:rPr>
        <w:b w:val="0"/>
        <w:color w:val="auto"/>
        <w:sz w:val="22"/>
        <w:szCs w:val="22"/>
      </w:rPr>
    </w:lvl>
    <w:lvl w:ilvl="2" w:tplc="748C99E6">
      <w:start w:val="1"/>
      <w:numFmt w:val="lowerRoman"/>
      <w:lvlText w:val="%3."/>
      <w:lvlJc w:val="right"/>
      <w:pPr>
        <w:ind w:left="2160" w:hanging="180"/>
      </w:pPr>
      <w:rPr>
        <w:b w:val="0"/>
        <w:color w:val="auto"/>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A06524"/>
    <w:multiLevelType w:val="hybridMultilevel"/>
    <w:tmpl w:val="46187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E65BE"/>
    <w:multiLevelType w:val="hybridMultilevel"/>
    <w:tmpl w:val="D05852C2"/>
    <w:lvl w:ilvl="0" w:tplc="CA26CC10">
      <w:start w:val="1"/>
      <w:numFmt w:val="lowerLetter"/>
      <w:lvlText w:val="%1."/>
      <w:lvlJc w:val="left"/>
      <w:pPr>
        <w:ind w:left="144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57A72"/>
    <w:multiLevelType w:val="hybridMultilevel"/>
    <w:tmpl w:val="AD24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17667"/>
    <w:multiLevelType w:val="hybridMultilevel"/>
    <w:tmpl w:val="1C7C1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9334C6"/>
    <w:multiLevelType w:val="hybridMultilevel"/>
    <w:tmpl w:val="2B40B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8145E"/>
    <w:multiLevelType w:val="hybridMultilevel"/>
    <w:tmpl w:val="11ECFCAA"/>
    <w:lvl w:ilvl="0" w:tplc="09A0B96A">
      <w:start w:val="1"/>
      <w:numFmt w:val="bullet"/>
      <w:lvlText w:val=""/>
      <w:lvlJc w:val="left"/>
      <w:pPr>
        <w:ind w:left="720" w:hanging="360"/>
      </w:pPr>
      <w:rPr>
        <w:rFonts w:ascii="Symbol" w:hAnsi="Symbol"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01DBE"/>
    <w:multiLevelType w:val="hybridMultilevel"/>
    <w:tmpl w:val="75B87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0F123D"/>
    <w:multiLevelType w:val="hybridMultilevel"/>
    <w:tmpl w:val="E0FA63BE"/>
    <w:lvl w:ilvl="0" w:tplc="09A0B96A">
      <w:start w:val="1"/>
      <w:numFmt w:val="bullet"/>
      <w:lvlText w:val=""/>
      <w:lvlJc w:val="left"/>
      <w:pPr>
        <w:ind w:left="720" w:hanging="360"/>
      </w:pPr>
      <w:rPr>
        <w:rFonts w:ascii="Symbol" w:hAnsi="Symbol" w:hint="default"/>
        <w:b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C2F8C"/>
    <w:multiLevelType w:val="hybridMultilevel"/>
    <w:tmpl w:val="A2A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D603C"/>
    <w:multiLevelType w:val="hybridMultilevel"/>
    <w:tmpl w:val="5D26E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1519FE"/>
    <w:multiLevelType w:val="hybridMultilevel"/>
    <w:tmpl w:val="B03A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97A08"/>
    <w:multiLevelType w:val="hybridMultilevel"/>
    <w:tmpl w:val="73DC27DA"/>
    <w:lvl w:ilvl="0" w:tplc="33688EE8">
      <w:start w:val="1"/>
      <w:numFmt w:val="decimal"/>
      <w:lvlText w:val="%1."/>
      <w:lvlJc w:val="left"/>
      <w:pPr>
        <w:ind w:left="1080" w:hanging="360"/>
      </w:pPr>
      <w:rPr>
        <w:rFonts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834726"/>
    <w:multiLevelType w:val="hybridMultilevel"/>
    <w:tmpl w:val="A1E2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D5372"/>
    <w:multiLevelType w:val="hybridMultilevel"/>
    <w:tmpl w:val="2B747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42637D"/>
    <w:multiLevelType w:val="hybridMultilevel"/>
    <w:tmpl w:val="DA7A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7"/>
  </w:num>
  <w:num w:numId="4">
    <w:abstractNumId w:val="3"/>
  </w:num>
  <w:num w:numId="5">
    <w:abstractNumId w:val="13"/>
  </w:num>
  <w:num w:numId="6">
    <w:abstractNumId w:val="11"/>
  </w:num>
  <w:num w:numId="7">
    <w:abstractNumId w:val="16"/>
  </w:num>
  <w:num w:numId="8">
    <w:abstractNumId w:val="19"/>
  </w:num>
  <w:num w:numId="9">
    <w:abstractNumId w:val="15"/>
  </w:num>
  <w:num w:numId="10">
    <w:abstractNumId w:val="10"/>
  </w:num>
  <w:num w:numId="11">
    <w:abstractNumId w:val="18"/>
  </w:num>
  <w:num w:numId="12">
    <w:abstractNumId w:val="4"/>
  </w:num>
  <w:num w:numId="13">
    <w:abstractNumId w:val="17"/>
  </w:num>
  <w:num w:numId="14">
    <w:abstractNumId w:val="5"/>
  </w:num>
  <w:num w:numId="15">
    <w:abstractNumId w:val="22"/>
  </w:num>
  <w:num w:numId="16">
    <w:abstractNumId w:val="20"/>
  </w:num>
  <w:num w:numId="17">
    <w:abstractNumId w:val="8"/>
  </w:num>
  <w:num w:numId="18">
    <w:abstractNumId w:val="2"/>
  </w:num>
  <w:num w:numId="19">
    <w:abstractNumId w:val="9"/>
  </w:num>
  <w:num w:numId="20">
    <w:abstractNumId w:val="14"/>
  </w:num>
  <w:num w:numId="21">
    <w:abstractNumId w:val="1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361E1"/>
    <w:rsid w:val="00060F36"/>
    <w:rsid w:val="000F6E18"/>
    <w:rsid w:val="00106754"/>
    <w:rsid w:val="001657D1"/>
    <w:rsid w:val="002A6F50"/>
    <w:rsid w:val="002F658F"/>
    <w:rsid w:val="0030226D"/>
    <w:rsid w:val="003B7519"/>
    <w:rsid w:val="0048117E"/>
    <w:rsid w:val="00585EA3"/>
    <w:rsid w:val="00685C25"/>
    <w:rsid w:val="006F2509"/>
    <w:rsid w:val="00750CEC"/>
    <w:rsid w:val="007D6F57"/>
    <w:rsid w:val="00895165"/>
    <w:rsid w:val="009C3CA9"/>
    <w:rsid w:val="009D2F91"/>
    <w:rsid w:val="00A001CE"/>
    <w:rsid w:val="00A449CC"/>
    <w:rsid w:val="00A44BD2"/>
    <w:rsid w:val="00A65917"/>
    <w:rsid w:val="00A93C42"/>
    <w:rsid w:val="00AC70C0"/>
    <w:rsid w:val="00BC7B90"/>
    <w:rsid w:val="00BE7F01"/>
    <w:rsid w:val="00C20A48"/>
    <w:rsid w:val="00CB4E93"/>
    <w:rsid w:val="00CD7EC4"/>
    <w:rsid w:val="00CE05A6"/>
    <w:rsid w:val="00CE34E0"/>
    <w:rsid w:val="00E54BD1"/>
    <w:rsid w:val="00E75690"/>
    <w:rsid w:val="00EA508E"/>
    <w:rsid w:val="00F528B1"/>
    <w:rsid w:val="00F6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6754"/>
    <w:pPr>
      <w:ind w:left="720"/>
      <w:contextualSpacing/>
    </w:pPr>
  </w:style>
  <w:style w:type="table" w:styleId="GridTable4-Accent1">
    <w:name w:val="Grid Table 4 Accent 1"/>
    <w:basedOn w:val="TableNormal"/>
    <w:uiPriority w:val="49"/>
    <w:rsid w:val="00CE05A6"/>
    <w:pPr>
      <w:spacing w:after="0" w:line="240" w:lineRule="auto"/>
    </w:pPr>
    <w:rPr>
      <w:rFonts w:eastAsia="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F6AE-8CBB-40F2-9391-8003816C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28766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14</cp:revision>
  <cp:lastPrinted>2017-01-19T13:27:00Z</cp:lastPrinted>
  <dcterms:created xsi:type="dcterms:W3CDTF">2017-01-19T13:41:00Z</dcterms:created>
  <dcterms:modified xsi:type="dcterms:W3CDTF">2017-07-03T14:05:00Z</dcterms:modified>
</cp:coreProperties>
</file>