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80" w:rightFromText="180" w:vertAnchor="text" w:horzAnchor="margin" w:tblpXSpec="right" w:tblpY="91"/>
        <w:tblW w:w="0" w:type="auto"/>
        <w:tblLook w:val="04A0" w:firstRow="1" w:lastRow="0" w:firstColumn="1" w:lastColumn="0" w:noHBand="0" w:noVBand="1"/>
      </w:tblPr>
      <w:tblGrid>
        <w:gridCol w:w="1620"/>
        <w:gridCol w:w="1795"/>
      </w:tblGrid>
      <w:tr w:rsidR="00E81451" w:rsidRPr="00E81451" w14:paraId="69E57A9C" w14:textId="77777777" w:rsidTr="00E81451">
        <w:tc>
          <w:tcPr>
            <w:tcW w:w="1620" w:type="dxa"/>
          </w:tcPr>
          <w:p w14:paraId="70334DA2"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Policy No. </w:t>
            </w:r>
          </w:p>
        </w:tc>
        <w:tc>
          <w:tcPr>
            <w:tcW w:w="1795" w:type="dxa"/>
          </w:tcPr>
          <w:p w14:paraId="7B3636E9" w14:textId="5635B532" w:rsidR="00E81451" w:rsidRPr="00E81451" w:rsidRDefault="00C42D5C" w:rsidP="00E81451">
            <w:pPr>
              <w:rPr>
                <w:rFonts w:ascii="Arial" w:eastAsia="Calibri" w:hAnsi="Arial" w:cs="Arial"/>
                <w:sz w:val="72"/>
                <w:szCs w:val="72"/>
              </w:rPr>
            </w:pPr>
            <w:r>
              <w:rPr>
                <w:rFonts w:ascii="Montserrat-Bold" w:eastAsia="Calibri" w:hAnsi="Montserrat-Bold" w:cs="Montserrat-Bold"/>
                <w:b/>
                <w:bCs/>
                <w:color w:val="BB1F53"/>
                <w:sz w:val="72"/>
                <w:szCs w:val="72"/>
              </w:rPr>
              <w:t>18</w:t>
            </w:r>
            <w:bookmarkStart w:id="0" w:name="_GoBack"/>
            <w:bookmarkEnd w:id="0"/>
          </w:p>
        </w:tc>
      </w:tr>
      <w:tr w:rsidR="00E81451" w:rsidRPr="00E81451" w14:paraId="2D105334" w14:textId="77777777" w:rsidTr="00E81451">
        <w:tc>
          <w:tcPr>
            <w:tcW w:w="1620" w:type="dxa"/>
          </w:tcPr>
          <w:p w14:paraId="239D9727"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Effective Date</w:t>
            </w:r>
          </w:p>
        </w:tc>
        <w:tc>
          <w:tcPr>
            <w:tcW w:w="1795" w:type="dxa"/>
          </w:tcPr>
          <w:p w14:paraId="6FBC7CE5" w14:textId="3DB30990" w:rsidR="00E81451" w:rsidRPr="00E81451" w:rsidRDefault="00D7069F" w:rsidP="00E81451">
            <w:pPr>
              <w:rPr>
                <w:rFonts w:ascii="Arial" w:eastAsia="Calibri" w:hAnsi="Arial" w:cs="Arial"/>
                <w:sz w:val="20"/>
                <w:szCs w:val="20"/>
              </w:rPr>
            </w:pPr>
            <w:r>
              <w:rPr>
                <w:rFonts w:ascii="Arial" w:eastAsia="Calibri" w:hAnsi="Arial" w:cs="Arial"/>
                <w:sz w:val="20"/>
                <w:szCs w:val="20"/>
              </w:rPr>
              <w:t>5/23</w:t>
            </w:r>
            <w:r w:rsidR="00FE432E">
              <w:rPr>
                <w:rFonts w:ascii="Arial" w:eastAsia="Calibri" w:hAnsi="Arial" w:cs="Arial"/>
                <w:sz w:val="20"/>
                <w:szCs w:val="20"/>
              </w:rPr>
              <w:t>/2019</w:t>
            </w:r>
          </w:p>
        </w:tc>
      </w:tr>
      <w:tr w:rsidR="00E81451" w:rsidRPr="00E81451" w14:paraId="6470C4E3" w14:textId="77777777" w:rsidTr="00E81451">
        <w:tc>
          <w:tcPr>
            <w:tcW w:w="1620" w:type="dxa"/>
          </w:tcPr>
          <w:p w14:paraId="6654CF06"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Approval </w:t>
            </w:r>
          </w:p>
        </w:tc>
        <w:tc>
          <w:tcPr>
            <w:tcW w:w="1795" w:type="dxa"/>
          </w:tcPr>
          <w:p w14:paraId="5E9710EA" w14:textId="77777777" w:rsidR="00E81451" w:rsidRPr="00E81451" w:rsidRDefault="00E81451" w:rsidP="00E81451">
            <w:pPr>
              <w:rPr>
                <w:rFonts w:ascii="Arial" w:eastAsia="Calibri" w:hAnsi="Arial" w:cs="Arial"/>
                <w:sz w:val="20"/>
                <w:szCs w:val="20"/>
              </w:rPr>
            </w:pPr>
            <w:r w:rsidRPr="00E81451">
              <w:rPr>
                <w:rFonts w:ascii="Arial" w:eastAsia="Calibri" w:hAnsi="Arial" w:cs="Arial"/>
                <w:sz w:val="20"/>
                <w:szCs w:val="20"/>
              </w:rPr>
              <w:t xml:space="preserve">GNWDB </w:t>
            </w:r>
          </w:p>
        </w:tc>
      </w:tr>
    </w:tbl>
    <w:p w14:paraId="553E172C" w14:textId="77777777" w:rsidR="00E81451" w:rsidRPr="00F53B2A" w:rsidRDefault="00FE432E" w:rsidP="00E81451">
      <w:pPr>
        <w:rPr>
          <w:rFonts w:ascii="Arial" w:hAnsi="Arial" w:cs="Arial"/>
          <w:b/>
          <w:bCs/>
          <w:color w:val="00607F"/>
          <w:sz w:val="48"/>
          <w:szCs w:val="48"/>
        </w:rPr>
      </w:pPr>
      <w:r>
        <w:rPr>
          <w:rFonts w:ascii="Arial" w:hAnsi="Arial" w:cs="Arial"/>
          <w:b/>
          <w:bCs/>
          <w:color w:val="00607F"/>
          <w:sz w:val="48"/>
          <w:szCs w:val="48"/>
        </w:rPr>
        <w:t>Supportive Service</w:t>
      </w:r>
      <w:r w:rsidR="00E81451">
        <w:rPr>
          <w:rFonts w:ascii="Arial" w:hAnsi="Arial" w:cs="Arial"/>
          <w:b/>
          <w:bCs/>
          <w:color w:val="00607F"/>
          <w:sz w:val="48"/>
          <w:szCs w:val="48"/>
        </w:rPr>
        <w:t xml:space="preserve"> P</w:t>
      </w:r>
      <w:r w:rsidR="00E81451" w:rsidRPr="00B57FD7">
        <w:rPr>
          <w:rFonts w:ascii="Arial" w:hAnsi="Arial" w:cs="Arial"/>
          <w:b/>
          <w:bCs/>
          <w:color w:val="00607F"/>
          <w:sz w:val="48"/>
          <w:szCs w:val="48"/>
        </w:rPr>
        <w:t>olic</w:t>
      </w:r>
      <w:r w:rsidR="00E81451">
        <w:rPr>
          <w:rFonts w:ascii="Arial" w:hAnsi="Arial" w:cs="Arial"/>
          <w:b/>
          <w:bCs/>
          <w:color w:val="00607F"/>
          <w:sz w:val="48"/>
          <w:szCs w:val="48"/>
        </w:rPr>
        <w:t xml:space="preserve">y </w:t>
      </w:r>
    </w:p>
    <w:p w14:paraId="4A0BE39A" w14:textId="77777777" w:rsidR="00E81451" w:rsidRDefault="00E81451" w:rsidP="00685C25">
      <w:pPr>
        <w:spacing w:after="0" w:line="240" w:lineRule="auto"/>
        <w:rPr>
          <w:rFonts w:eastAsia="Times New Roman" w:cs="Times New Roman"/>
          <w:b/>
          <w:u w:val="single"/>
        </w:rPr>
      </w:pPr>
    </w:p>
    <w:p w14:paraId="45276502" w14:textId="77777777" w:rsidR="00685C25" w:rsidRPr="001D3870" w:rsidRDefault="00685C25" w:rsidP="00E124F8">
      <w:pPr>
        <w:spacing w:after="0" w:line="240" w:lineRule="auto"/>
        <w:jc w:val="both"/>
        <w:rPr>
          <w:rFonts w:eastAsia="Times New Roman" w:cs="Times New Roman"/>
          <w:b/>
          <w:color w:val="00607F"/>
          <w:u w:val="single"/>
        </w:rPr>
      </w:pPr>
      <w:r w:rsidRPr="001D3870">
        <w:rPr>
          <w:rFonts w:eastAsia="+mn-ea" w:cs="Times New Roman"/>
          <w:b/>
          <w:bCs/>
          <w:color w:val="00607F"/>
          <w:kern w:val="24"/>
          <w:sz w:val="28"/>
          <w:szCs w:val="28"/>
          <w:u w:val="single"/>
        </w:rPr>
        <w:t>Reference</w:t>
      </w:r>
      <w:r w:rsidR="009D2F91" w:rsidRPr="001D3870">
        <w:rPr>
          <w:rFonts w:eastAsia="Times New Roman" w:cs="Times New Roman"/>
          <w:b/>
          <w:color w:val="00607F"/>
          <w:u w:val="single"/>
        </w:rPr>
        <w:t xml:space="preserve"> </w:t>
      </w:r>
    </w:p>
    <w:p w14:paraId="135AE44E" w14:textId="77777777" w:rsidR="006C784E" w:rsidRPr="00045ECF" w:rsidRDefault="006C784E" w:rsidP="00E124F8">
      <w:pPr>
        <w:spacing w:after="0" w:line="240" w:lineRule="auto"/>
        <w:jc w:val="both"/>
      </w:pPr>
      <w:r w:rsidRPr="00723BC7">
        <w:t>Workforce Innovation and Opportun</w:t>
      </w:r>
      <w:r w:rsidR="00723BC7" w:rsidRPr="00723BC7">
        <w:t xml:space="preserve">ity Act (WIOA) </w:t>
      </w:r>
      <w:r w:rsidRPr="00723BC7">
        <w:t>134;</w:t>
      </w:r>
      <w:r w:rsidRPr="00045ECF">
        <w:t xml:space="preserve"> </w:t>
      </w:r>
      <w:r w:rsidR="008747BA" w:rsidRPr="00045ECF">
        <w:t xml:space="preserve">20 CFR </w:t>
      </w:r>
      <w:r w:rsidR="00FE432E">
        <w:t>§§ 680.900-680.97</w:t>
      </w:r>
      <w:r w:rsidRPr="00045ECF">
        <w:t xml:space="preserve">0; </w:t>
      </w:r>
      <w:r w:rsidR="00045ECF" w:rsidRPr="00045ECF">
        <w:t>TEGL 19-16</w:t>
      </w:r>
      <w:r w:rsidRPr="00045ECF">
        <w:t xml:space="preserve">, </w:t>
      </w:r>
      <w:r w:rsidR="002220B2" w:rsidRPr="00045ECF">
        <w:t>Nebraska Department of Labor (N</w:t>
      </w:r>
      <w:r w:rsidR="00FE432E">
        <w:t xml:space="preserve">DOL) Adult and Dislocated Worker Programs </w:t>
      </w:r>
      <w:r w:rsidR="00123E96" w:rsidRPr="00045ECF">
        <w:t>Policy</w:t>
      </w:r>
      <w:r w:rsidR="002220B2" w:rsidRPr="00045ECF">
        <w:t>.</w:t>
      </w:r>
      <w:r w:rsidR="002220B2" w:rsidRPr="00123E96">
        <w:t xml:space="preserve"> </w:t>
      </w:r>
    </w:p>
    <w:p w14:paraId="20F5515D" w14:textId="77777777" w:rsidR="009E5E0D" w:rsidRPr="0080664C" w:rsidRDefault="009E5E0D" w:rsidP="00E124F8">
      <w:pPr>
        <w:spacing w:after="0" w:line="240" w:lineRule="auto"/>
        <w:jc w:val="both"/>
        <w:rPr>
          <w:rFonts w:eastAsia="Times New Roman" w:cs="Times New Roman"/>
        </w:rPr>
      </w:pPr>
    </w:p>
    <w:p w14:paraId="7E3F2C21" w14:textId="77777777" w:rsidR="00685C25" w:rsidRPr="0080664C" w:rsidRDefault="00685C25" w:rsidP="00E53209">
      <w:pPr>
        <w:tabs>
          <w:tab w:val="left" w:pos="8595"/>
        </w:tabs>
        <w:spacing w:after="0" w:line="240" w:lineRule="auto"/>
        <w:jc w:val="both"/>
        <w:rPr>
          <w:rFonts w:eastAsia="+mn-ea" w:cs="Times New Roman"/>
          <w:b/>
          <w:bCs/>
          <w:color w:val="00607F"/>
          <w:kern w:val="24"/>
          <w:sz w:val="28"/>
          <w:szCs w:val="28"/>
          <w:u w:val="single"/>
        </w:rPr>
      </w:pPr>
      <w:r w:rsidRPr="0080664C">
        <w:rPr>
          <w:rFonts w:eastAsia="+mn-ea" w:cs="Times New Roman"/>
          <w:b/>
          <w:bCs/>
          <w:color w:val="00607F"/>
          <w:kern w:val="24"/>
          <w:sz w:val="28"/>
          <w:szCs w:val="28"/>
          <w:u w:val="single"/>
        </w:rPr>
        <w:t xml:space="preserve">Policy </w:t>
      </w:r>
      <w:r w:rsidR="00E53209">
        <w:rPr>
          <w:rFonts w:eastAsia="+mn-ea" w:cs="Times New Roman"/>
          <w:b/>
          <w:bCs/>
          <w:color w:val="00607F"/>
          <w:kern w:val="24"/>
          <w:sz w:val="28"/>
          <w:szCs w:val="28"/>
          <w:u w:val="single"/>
        </w:rPr>
        <w:tab/>
      </w:r>
    </w:p>
    <w:p w14:paraId="588CFBE7" w14:textId="77777777" w:rsidR="00045ECF" w:rsidRDefault="00045ECF" w:rsidP="00045ECF">
      <w:pPr>
        <w:spacing w:after="0" w:line="240" w:lineRule="auto"/>
        <w:jc w:val="both"/>
      </w:pPr>
    </w:p>
    <w:p w14:paraId="33A8A7F5" w14:textId="77777777" w:rsidR="007402F4" w:rsidRDefault="006502DF" w:rsidP="007A6585">
      <w:pPr>
        <w:spacing w:after="0" w:line="240" w:lineRule="auto"/>
        <w:jc w:val="both"/>
        <w:rPr>
          <w:rFonts w:cs="Times New Roman"/>
          <w:sz w:val="24"/>
          <w:szCs w:val="24"/>
        </w:rPr>
      </w:pPr>
      <w:r>
        <w:rPr>
          <w:rFonts w:cs="Times New Roman"/>
          <w:sz w:val="24"/>
          <w:szCs w:val="24"/>
        </w:rPr>
        <w:t>Support</w:t>
      </w:r>
      <w:r w:rsidR="00055320">
        <w:rPr>
          <w:rFonts w:cs="Times New Roman"/>
          <w:sz w:val="24"/>
          <w:szCs w:val="24"/>
        </w:rPr>
        <w:t>ive</w:t>
      </w:r>
      <w:r>
        <w:rPr>
          <w:rFonts w:cs="Times New Roman"/>
          <w:sz w:val="24"/>
          <w:szCs w:val="24"/>
        </w:rPr>
        <w:t xml:space="preserve"> services are available for WIOA Title 1 Adult, Dislocated Worker and Youth programs. Support</w:t>
      </w:r>
      <w:r w:rsidR="00055320">
        <w:rPr>
          <w:rFonts w:cs="Times New Roman"/>
          <w:sz w:val="24"/>
          <w:szCs w:val="24"/>
        </w:rPr>
        <w:t>ive</w:t>
      </w:r>
      <w:r>
        <w:rPr>
          <w:rFonts w:cs="Times New Roman"/>
          <w:sz w:val="24"/>
          <w:szCs w:val="24"/>
        </w:rPr>
        <w:t xml:space="preserve"> services are one of the 14 youth elements that must be made available to participants. </w:t>
      </w:r>
    </w:p>
    <w:p w14:paraId="68403014" w14:textId="77777777" w:rsidR="007402F4" w:rsidRDefault="007402F4" w:rsidP="007A6585">
      <w:pPr>
        <w:spacing w:after="0" w:line="240" w:lineRule="auto"/>
        <w:jc w:val="both"/>
        <w:rPr>
          <w:rFonts w:cs="Times New Roman"/>
          <w:sz w:val="24"/>
          <w:szCs w:val="24"/>
        </w:rPr>
      </w:pPr>
    </w:p>
    <w:p w14:paraId="01815373" w14:textId="77777777" w:rsidR="006502DF" w:rsidRDefault="007402F4" w:rsidP="007A6585">
      <w:pPr>
        <w:spacing w:after="0" w:line="240" w:lineRule="auto"/>
        <w:jc w:val="both"/>
        <w:rPr>
          <w:rFonts w:cs="Times New Roman"/>
          <w:sz w:val="24"/>
          <w:szCs w:val="24"/>
        </w:rPr>
      </w:pPr>
      <w:r>
        <w:rPr>
          <w:rFonts w:cs="Times New Roman"/>
          <w:sz w:val="24"/>
          <w:szCs w:val="24"/>
        </w:rPr>
        <w:t>Support</w:t>
      </w:r>
      <w:r w:rsidR="00055320">
        <w:rPr>
          <w:rFonts w:cs="Times New Roman"/>
          <w:sz w:val="24"/>
          <w:szCs w:val="24"/>
        </w:rPr>
        <w:t>ive</w:t>
      </w:r>
      <w:r>
        <w:rPr>
          <w:rFonts w:cs="Times New Roman"/>
          <w:sz w:val="24"/>
          <w:szCs w:val="24"/>
        </w:rPr>
        <w:t xml:space="preserve"> services are services that are reasonable and necessary to enable a participant to take part in </w:t>
      </w:r>
      <w:r w:rsidR="0014186A">
        <w:rPr>
          <w:rFonts w:cs="Times New Roman"/>
          <w:sz w:val="24"/>
          <w:szCs w:val="24"/>
        </w:rPr>
        <w:t>career services, training services, or youth employment and training activities</w:t>
      </w:r>
      <w:r>
        <w:rPr>
          <w:rFonts w:cs="Times New Roman"/>
          <w:sz w:val="24"/>
          <w:szCs w:val="24"/>
        </w:rPr>
        <w:t>. Support</w:t>
      </w:r>
      <w:r w:rsidR="008606DF">
        <w:rPr>
          <w:rFonts w:cs="Times New Roman"/>
          <w:sz w:val="24"/>
          <w:szCs w:val="24"/>
        </w:rPr>
        <w:t>ive</w:t>
      </w:r>
      <w:r>
        <w:rPr>
          <w:rFonts w:cs="Times New Roman"/>
          <w:sz w:val="24"/>
          <w:szCs w:val="24"/>
        </w:rPr>
        <w:t xml:space="preserve"> s</w:t>
      </w:r>
      <w:r w:rsidR="004B45DA">
        <w:rPr>
          <w:rFonts w:cs="Times New Roman"/>
          <w:sz w:val="24"/>
          <w:szCs w:val="24"/>
        </w:rPr>
        <w:t>ervices should not duplicate funds provided by another source</w:t>
      </w:r>
      <w:r>
        <w:rPr>
          <w:rFonts w:cs="Times New Roman"/>
          <w:sz w:val="24"/>
          <w:szCs w:val="24"/>
        </w:rPr>
        <w:t xml:space="preserve">.  </w:t>
      </w:r>
      <w:r w:rsidR="004E6503">
        <w:rPr>
          <w:rFonts w:cs="Times New Roman"/>
          <w:sz w:val="24"/>
          <w:szCs w:val="24"/>
        </w:rPr>
        <w:t>Participants in need of support</w:t>
      </w:r>
      <w:r w:rsidR="008606DF">
        <w:rPr>
          <w:rFonts w:cs="Times New Roman"/>
          <w:sz w:val="24"/>
          <w:szCs w:val="24"/>
        </w:rPr>
        <w:t>ive</w:t>
      </w:r>
      <w:r w:rsidR="004E6503">
        <w:rPr>
          <w:rFonts w:cs="Times New Roman"/>
          <w:sz w:val="24"/>
          <w:szCs w:val="24"/>
        </w:rPr>
        <w:t xml:space="preserve"> services should be referred to other community resources before WIOA Title 1 funds the service. </w:t>
      </w:r>
      <w:r>
        <w:rPr>
          <w:rFonts w:cs="Times New Roman"/>
          <w:sz w:val="24"/>
          <w:szCs w:val="24"/>
        </w:rPr>
        <w:t>It may be applicable to cost share with other service providers.</w:t>
      </w:r>
      <w:r w:rsidR="005D78CD">
        <w:rPr>
          <w:rFonts w:cs="Times New Roman"/>
          <w:sz w:val="24"/>
          <w:szCs w:val="24"/>
        </w:rPr>
        <w:t xml:space="preserve"> </w:t>
      </w:r>
    </w:p>
    <w:p w14:paraId="596B10A2" w14:textId="77777777" w:rsidR="00453D9C" w:rsidRDefault="00453D9C" w:rsidP="00453D9C">
      <w:pPr>
        <w:spacing w:after="0" w:line="240" w:lineRule="auto"/>
        <w:jc w:val="both"/>
        <w:rPr>
          <w:rFonts w:eastAsia="+mn-ea" w:cs="Times New Roman"/>
          <w:bCs/>
          <w:color w:val="BB1F53"/>
          <w:kern w:val="24"/>
          <w:sz w:val="24"/>
          <w:szCs w:val="24"/>
        </w:rPr>
      </w:pPr>
    </w:p>
    <w:p w14:paraId="7B69F6FC" w14:textId="77777777" w:rsidR="00453D9C" w:rsidRPr="00453D9C" w:rsidRDefault="00453D9C" w:rsidP="007A6585">
      <w:pPr>
        <w:spacing w:after="0" w:line="240" w:lineRule="auto"/>
        <w:jc w:val="both"/>
        <w:rPr>
          <w:rFonts w:eastAsia="+mn-ea" w:cs="Times New Roman"/>
          <w:bCs/>
          <w:kern w:val="24"/>
          <w:sz w:val="24"/>
          <w:szCs w:val="24"/>
        </w:rPr>
      </w:pPr>
      <w:r>
        <w:rPr>
          <w:rFonts w:eastAsia="+mn-ea" w:cs="Times New Roman"/>
          <w:bCs/>
          <w:kern w:val="24"/>
          <w:sz w:val="24"/>
          <w:szCs w:val="24"/>
        </w:rPr>
        <w:t xml:space="preserve">The </w:t>
      </w:r>
      <w:r w:rsidR="005D78CD">
        <w:rPr>
          <w:rFonts w:eastAsia="+mn-ea" w:cs="Times New Roman"/>
          <w:bCs/>
          <w:kern w:val="24"/>
          <w:sz w:val="24"/>
          <w:szCs w:val="24"/>
        </w:rPr>
        <w:t xml:space="preserve">frequency and </w:t>
      </w:r>
      <w:r>
        <w:rPr>
          <w:rFonts w:eastAsia="+mn-ea" w:cs="Times New Roman"/>
          <w:bCs/>
          <w:kern w:val="24"/>
          <w:sz w:val="24"/>
          <w:szCs w:val="24"/>
        </w:rPr>
        <w:t>utilization of support</w:t>
      </w:r>
      <w:r w:rsidR="00CD5C86">
        <w:rPr>
          <w:rFonts w:eastAsia="+mn-ea" w:cs="Times New Roman"/>
          <w:bCs/>
          <w:kern w:val="24"/>
          <w:sz w:val="24"/>
          <w:szCs w:val="24"/>
        </w:rPr>
        <w:t>ive</w:t>
      </w:r>
      <w:r>
        <w:rPr>
          <w:rFonts w:eastAsia="+mn-ea" w:cs="Times New Roman"/>
          <w:bCs/>
          <w:kern w:val="24"/>
          <w:sz w:val="24"/>
          <w:szCs w:val="24"/>
        </w:rPr>
        <w:t xml:space="preserve"> services is determined on an individual basis</w:t>
      </w:r>
      <w:r w:rsidR="005D78CD">
        <w:rPr>
          <w:rFonts w:eastAsia="+mn-ea" w:cs="Times New Roman"/>
          <w:bCs/>
          <w:kern w:val="24"/>
          <w:sz w:val="24"/>
          <w:szCs w:val="24"/>
        </w:rPr>
        <w:t xml:space="preserve"> based on the participant’s Individual Employment Plan (IEP) or Individual Service Strategy (ISS)</w:t>
      </w:r>
      <w:r>
        <w:rPr>
          <w:rFonts w:eastAsia="+mn-ea" w:cs="Times New Roman"/>
          <w:bCs/>
          <w:kern w:val="24"/>
          <w:sz w:val="24"/>
          <w:szCs w:val="24"/>
        </w:rPr>
        <w:t>. Support</w:t>
      </w:r>
      <w:r w:rsidR="008606DF">
        <w:rPr>
          <w:rFonts w:eastAsia="+mn-ea" w:cs="Times New Roman"/>
          <w:bCs/>
          <w:kern w:val="24"/>
          <w:sz w:val="24"/>
          <w:szCs w:val="24"/>
        </w:rPr>
        <w:t>ive</w:t>
      </w:r>
      <w:r>
        <w:rPr>
          <w:rFonts w:eastAsia="+mn-ea" w:cs="Times New Roman"/>
          <w:bCs/>
          <w:kern w:val="24"/>
          <w:sz w:val="24"/>
          <w:szCs w:val="24"/>
        </w:rPr>
        <w:t xml:space="preserve"> service dollars are not guaranteed as they are based on availability of program funds. </w:t>
      </w:r>
    </w:p>
    <w:p w14:paraId="2B350893" w14:textId="77777777" w:rsidR="006502DF" w:rsidRDefault="006502DF" w:rsidP="007A6585">
      <w:pPr>
        <w:spacing w:after="0" w:line="240" w:lineRule="auto"/>
        <w:jc w:val="both"/>
        <w:rPr>
          <w:rFonts w:cs="Times New Roman"/>
          <w:sz w:val="24"/>
          <w:szCs w:val="24"/>
        </w:rPr>
      </w:pPr>
    </w:p>
    <w:p w14:paraId="2C96BFF4" w14:textId="77777777" w:rsidR="007402F4" w:rsidRDefault="007402F4" w:rsidP="00D23D8A">
      <w:pPr>
        <w:spacing w:after="0" w:line="240" w:lineRule="auto"/>
        <w:jc w:val="both"/>
        <w:rPr>
          <w:rFonts w:eastAsia="+mn-ea" w:cs="Times New Roman"/>
          <w:bCs/>
          <w:kern w:val="24"/>
          <w:sz w:val="24"/>
          <w:szCs w:val="24"/>
        </w:rPr>
      </w:pPr>
      <w:r>
        <w:rPr>
          <w:rFonts w:eastAsia="+mn-ea" w:cs="Times New Roman"/>
          <w:bCs/>
          <w:kern w:val="24"/>
          <w:sz w:val="24"/>
          <w:szCs w:val="24"/>
        </w:rPr>
        <w:t>Support</w:t>
      </w:r>
      <w:r w:rsidR="008606DF">
        <w:rPr>
          <w:rFonts w:eastAsia="+mn-ea" w:cs="Times New Roman"/>
          <w:bCs/>
          <w:kern w:val="24"/>
          <w:sz w:val="24"/>
          <w:szCs w:val="24"/>
        </w:rPr>
        <w:t>ive</w:t>
      </w:r>
      <w:r>
        <w:rPr>
          <w:rFonts w:eastAsia="+mn-ea" w:cs="Times New Roman"/>
          <w:bCs/>
          <w:kern w:val="24"/>
          <w:sz w:val="24"/>
          <w:szCs w:val="24"/>
        </w:rPr>
        <w:t xml:space="preserve"> services are not intended to meet every need of the participant. Rather, they provide temporary assistance. For this reason, staff should assist the participant in developing a plan to cover the supported cost once WIOA Title 1 funds are no longer appropriate for the individual. </w:t>
      </w:r>
    </w:p>
    <w:p w14:paraId="2E4EB13C" w14:textId="77777777" w:rsidR="007402F4" w:rsidRDefault="007402F4" w:rsidP="00D23D8A">
      <w:pPr>
        <w:spacing w:after="0" w:line="240" w:lineRule="auto"/>
        <w:jc w:val="both"/>
        <w:rPr>
          <w:rFonts w:eastAsia="+mn-ea" w:cs="Times New Roman"/>
          <w:bCs/>
          <w:kern w:val="24"/>
          <w:sz w:val="24"/>
          <w:szCs w:val="24"/>
        </w:rPr>
      </w:pPr>
    </w:p>
    <w:p w14:paraId="1BF20A1D" w14:textId="77777777" w:rsidR="007402F4" w:rsidRPr="00C94BE7" w:rsidRDefault="007402F4" w:rsidP="00D23D8A">
      <w:pPr>
        <w:spacing w:after="0" w:line="240" w:lineRule="auto"/>
        <w:jc w:val="both"/>
        <w:rPr>
          <w:rFonts w:eastAsia="+mn-ea" w:cs="Times New Roman"/>
          <w:b/>
          <w:bCs/>
          <w:kern w:val="24"/>
          <w:sz w:val="24"/>
          <w:szCs w:val="24"/>
        </w:rPr>
      </w:pPr>
      <w:r w:rsidRPr="00C94BE7">
        <w:rPr>
          <w:rFonts w:eastAsia="+mn-ea" w:cs="Times New Roman"/>
          <w:b/>
          <w:bCs/>
          <w:kern w:val="24"/>
          <w:sz w:val="24"/>
          <w:szCs w:val="24"/>
        </w:rPr>
        <w:t xml:space="preserve">Payments are not allowed for: </w:t>
      </w:r>
    </w:p>
    <w:p w14:paraId="2F7AC0AB" w14:textId="77777777" w:rsidR="007402F4" w:rsidRDefault="007402F4" w:rsidP="007402F4">
      <w:pPr>
        <w:pStyle w:val="ListParagraph"/>
        <w:numPr>
          <w:ilvl w:val="0"/>
          <w:numId w:val="41"/>
        </w:numPr>
        <w:spacing w:after="0" w:line="240" w:lineRule="auto"/>
        <w:jc w:val="both"/>
        <w:rPr>
          <w:rFonts w:eastAsia="+mn-ea" w:cs="Times New Roman"/>
          <w:bCs/>
          <w:kern w:val="24"/>
          <w:sz w:val="24"/>
          <w:szCs w:val="24"/>
        </w:rPr>
      </w:pPr>
      <w:r>
        <w:rPr>
          <w:rFonts w:eastAsia="+mn-ea" w:cs="Times New Roman"/>
          <w:bCs/>
          <w:kern w:val="24"/>
          <w:sz w:val="24"/>
          <w:szCs w:val="24"/>
        </w:rPr>
        <w:t xml:space="preserve">Expenses incurred prior to enrollment in a WIOA program. </w:t>
      </w:r>
    </w:p>
    <w:p w14:paraId="133E3A90" w14:textId="77777777" w:rsidR="007402F4" w:rsidRDefault="007402F4" w:rsidP="007402F4">
      <w:pPr>
        <w:pStyle w:val="ListParagraph"/>
        <w:numPr>
          <w:ilvl w:val="0"/>
          <w:numId w:val="41"/>
        </w:numPr>
        <w:spacing w:after="0" w:line="240" w:lineRule="auto"/>
        <w:jc w:val="both"/>
        <w:rPr>
          <w:rFonts w:eastAsia="+mn-ea" w:cs="Times New Roman"/>
          <w:bCs/>
          <w:kern w:val="24"/>
          <w:sz w:val="24"/>
          <w:szCs w:val="24"/>
        </w:rPr>
      </w:pPr>
      <w:r>
        <w:rPr>
          <w:rFonts w:eastAsia="+mn-ea" w:cs="Times New Roman"/>
          <w:bCs/>
          <w:kern w:val="24"/>
          <w:sz w:val="24"/>
          <w:szCs w:val="24"/>
        </w:rPr>
        <w:t xml:space="preserve">Business start-up costs. </w:t>
      </w:r>
    </w:p>
    <w:p w14:paraId="55596301" w14:textId="5FC53549" w:rsidR="0091211B" w:rsidRDefault="0091211B" w:rsidP="007402F4">
      <w:pPr>
        <w:pStyle w:val="ListParagraph"/>
        <w:numPr>
          <w:ilvl w:val="0"/>
          <w:numId w:val="41"/>
        </w:numPr>
        <w:spacing w:after="0" w:line="240" w:lineRule="auto"/>
        <w:jc w:val="both"/>
        <w:rPr>
          <w:rFonts w:eastAsia="+mn-ea" w:cs="Times New Roman"/>
          <w:bCs/>
          <w:kern w:val="24"/>
          <w:sz w:val="24"/>
          <w:szCs w:val="24"/>
        </w:rPr>
      </w:pPr>
      <w:r>
        <w:rPr>
          <w:rFonts w:eastAsia="+mn-ea" w:cs="Times New Roman"/>
          <w:bCs/>
          <w:kern w:val="24"/>
          <w:sz w:val="24"/>
          <w:szCs w:val="24"/>
        </w:rPr>
        <w:t>Rental or utility deposits</w:t>
      </w:r>
    </w:p>
    <w:p w14:paraId="2B9A07FD" w14:textId="2C9C2FA6" w:rsidR="004C0FA0" w:rsidRDefault="004C0FA0" w:rsidP="007402F4">
      <w:pPr>
        <w:pStyle w:val="ListParagraph"/>
        <w:numPr>
          <w:ilvl w:val="0"/>
          <w:numId w:val="41"/>
        </w:numPr>
        <w:spacing w:after="0" w:line="240" w:lineRule="auto"/>
        <w:jc w:val="both"/>
        <w:rPr>
          <w:rFonts w:eastAsia="+mn-ea" w:cs="Times New Roman"/>
          <w:bCs/>
          <w:kern w:val="24"/>
          <w:sz w:val="24"/>
          <w:szCs w:val="24"/>
        </w:rPr>
      </w:pPr>
      <w:r>
        <w:rPr>
          <w:rFonts w:eastAsia="+mn-ea" w:cs="Times New Roman"/>
          <w:bCs/>
          <w:kern w:val="24"/>
          <w:sz w:val="24"/>
          <w:szCs w:val="24"/>
        </w:rPr>
        <w:t>Gas vouchers</w:t>
      </w:r>
    </w:p>
    <w:p w14:paraId="7EDCBFCE" w14:textId="461B3192" w:rsidR="004C0FA0" w:rsidRDefault="004C0FA0" w:rsidP="007402F4">
      <w:pPr>
        <w:pStyle w:val="ListParagraph"/>
        <w:numPr>
          <w:ilvl w:val="0"/>
          <w:numId w:val="41"/>
        </w:numPr>
        <w:spacing w:after="0" w:line="240" w:lineRule="auto"/>
        <w:jc w:val="both"/>
        <w:rPr>
          <w:rFonts w:eastAsia="+mn-ea" w:cs="Times New Roman"/>
          <w:bCs/>
          <w:kern w:val="24"/>
          <w:sz w:val="24"/>
          <w:szCs w:val="24"/>
        </w:rPr>
      </w:pPr>
      <w:r>
        <w:rPr>
          <w:rFonts w:eastAsia="+mn-ea" w:cs="Times New Roman"/>
          <w:bCs/>
          <w:kern w:val="24"/>
          <w:sz w:val="24"/>
          <w:szCs w:val="24"/>
        </w:rPr>
        <w:t>Any service in arrears</w:t>
      </w:r>
    </w:p>
    <w:p w14:paraId="6137FC25" w14:textId="77777777" w:rsidR="004B45DA" w:rsidRDefault="004B45DA" w:rsidP="004B45DA">
      <w:pPr>
        <w:pStyle w:val="ListParagraph"/>
        <w:spacing w:after="0" w:line="240" w:lineRule="auto"/>
        <w:jc w:val="both"/>
        <w:rPr>
          <w:rFonts w:eastAsia="+mn-ea" w:cs="Times New Roman"/>
          <w:bCs/>
          <w:kern w:val="24"/>
          <w:sz w:val="24"/>
          <w:szCs w:val="24"/>
        </w:rPr>
      </w:pPr>
    </w:p>
    <w:p w14:paraId="3BD10F07" w14:textId="77777777" w:rsidR="00B57FD7" w:rsidRPr="001056AC" w:rsidRDefault="00B57FD7" w:rsidP="00B57FD7">
      <w:pPr>
        <w:pStyle w:val="Style11"/>
        <w:spacing w:before="0" w:after="0"/>
        <w:jc w:val="both"/>
        <w:rPr>
          <w:rFonts w:ascii="Times New Roman" w:eastAsia="+mn-ea" w:hAnsi="Times New Roman" w:cs="Times New Roman"/>
          <w:b/>
          <w:color w:val="00607F"/>
          <w:kern w:val="24"/>
          <w:sz w:val="24"/>
          <w:szCs w:val="24"/>
        </w:rPr>
      </w:pPr>
      <w:r w:rsidRPr="001056AC">
        <w:rPr>
          <w:rFonts w:ascii="Times New Roman" w:eastAsia="+mn-ea" w:hAnsi="Times New Roman" w:cs="Times New Roman"/>
          <w:b/>
          <w:color w:val="00607F"/>
          <w:kern w:val="24"/>
          <w:sz w:val="24"/>
          <w:szCs w:val="24"/>
        </w:rPr>
        <w:t>Support</w:t>
      </w:r>
      <w:r w:rsidR="008606DF">
        <w:rPr>
          <w:rFonts w:ascii="Times New Roman" w:eastAsia="+mn-ea" w:hAnsi="Times New Roman" w:cs="Times New Roman"/>
          <w:b/>
          <w:color w:val="00607F"/>
          <w:kern w:val="24"/>
          <w:sz w:val="24"/>
          <w:szCs w:val="24"/>
        </w:rPr>
        <w:t>ive</w:t>
      </w:r>
      <w:r w:rsidRPr="001056AC">
        <w:rPr>
          <w:rFonts w:ascii="Times New Roman" w:eastAsia="+mn-ea" w:hAnsi="Times New Roman" w:cs="Times New Roman"/>
          <w:b/>
          <w:color w:val="00607F"/>
          <w:kern w:val="24"/>
          <w:sz w:val="24"/>
          <w:szCs w:val="24"/>
        </w:rPr>
        <w:t xml:space="preserve"> Services</w:t>
      </w:r>
    </w:p>
    <w:p w14:paraId="5E3A557C" w14:textId="77777777" w:rsidR="00B57FD7" w:rsidRDefault="00B57FD7" w:rsidP="00B57FD7">
      <w:pPr>
        <w:pStyle w:val="Style11"/>
        <w:spacing w:before="0" w:after="0"/>
        <w:jc w:val="both"/>
        <w:rPr>
          <w:rFonts w:ascii="Times New Roman" w:eastAsia="+mn-ea" w:hAnsi="Times New Roman" w:cs="Times New Roman"/>
          <w:b/>
          <w:color w:val="BB1F53"/>
          <w:kern w:val="24"/>
          <w:sz w:val="24"/>
          <w:szCs w:val="24"/>
        </w:rPr>
      </w:pPr>
    </w:p>
    <w:p w14:paraId="7EEE5CFF" w14:textId="77777777" w:rsidR="00C94BE7" w:rsidRPr="00C94BE7" w:rsidRDefault="00B57FD7" w:rsidP="00C94BE7">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Linkages to community services</w:t>
      </w:r>
    </w:p>
    <w:p w14:paraId="19729282" w14:textId="77777777" w:rsidR="001056AC" w:rsidRDefault="00C562FB"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Assistance in providing linkages, referrals, and accurate information about the availability of supportive service assistance not provided </w:t>
      </w:r>
      <w:r w:rsidR="00D66E12">
        <w:rPr>
          <w:rFonts w:ascii="Times New Roman" w:eastAsia="+mn-ea" w:hAnsi="Times New Roman" w:cs="Times New Roman"/>
          <w:kern w:val="24"/>
          <w:sz w:val="24"/>
          <w:szCs w:val="24"/>
        </w:rPr>
        <w:t>or funded by</w:t>
      </w:r>
      <w:r>
        <w:rPr>
          <w:rFonts w:ascii="Times New Roman" w:eastAsia="+mn-ea" w:hAnsi="Times New Roman" w:cs="Times New Roman"/>
          <w:kern w:val="24"/>
          <w:sz w:val="24"/>
          <w:szCs w:val="24"/>
        </w:rPr>
        <w:t xml:space="preserve"> WIOA. These services may </w:t>
      </w:r>
      <w:r w:rsidR="00D66E12">
        <w:rPr>
          <w:rFonts w:ascii="Times New Roman" w:eastAsia="+mn-ea" w:hAnsi="Times New Roman" w:cs="Times New Roman"/>
          <w:kern w:val="24"/>
          <w:sz w:val="24"/>
          <w:szCs w:val="24"/>
        </w:rPr>
        <w:t>include, but are not limited to</w:t>
      </w:r>
      <w:r>
        <w:rPr>
          <w:rFonts w:ascii="Times New Roman" w:eastAsia="+mn-ea" w:hAnsi="Times New Roman" w:cs="Times New Roman"/>
          <w:kern w:val="24"/>
          <w:sz w:val="24"/>
          <w:szCs w:val="24"/>
        </w:rPr>
        <w:t xml:space="preserve"> </w:t>
      </w:r>
      <w:r w:rsidR="00DC4B70">
        <w:rPr>
          <w:rFonts w:ascii="Times New Roman" w:eastAsia="+mn-ea" w:hAnsi="Times New Roman" w:cs="Times New Roman"/>
          <w:kern w:val="24"/>
          <w:sz w:val="24"/>
          <w:szCs w:val="24"/>
        </w:rPr>
        <w:t>Supplemental Assistance Nutrition Program (</w:t>
      </w:r>
      <w:r>
        <w:rPr>
          <w:rFonts w:ascii="Times New Roman" w:eastAsia="+mn-ea" w:hAnsi="Times New Roman" w:cs="Times New Roman"/>
          <w:kern w:val="24"/>
          <w:sz w:val="24"/>
          <w:szCs w:val="24"/>
        </w:rPr>
        <w:t>SNAP</w:t>
      </w:r>
      <w:r w:rsidR="00DC4B70">
        <w:rPr>
          <w:rFonts w:ascii="Times New Roman" w:eastAsia="+mn-ea" w:hAnsi="Times New Roman" w:cs="Times New Roman"/>
          <w:kern w:val="24"/>
          <w:sz w:val="24"/>
          <w:szCs w:val="24"/>
        </w:rPr>
        <w:t>) benefits, Temporary Assistance for Needy F</w:t>
      </w:r>
      <w:r>
        <w:rPr>
          <w:rFonts w:ascii="Times New Roman" w:eastAsia="+mn-ea" w:hAnsi="Times New Roman" w:cs="Times New Roman"/>
          <w:kern w:val="24"/>
          <w:sz w:val="24"/>
          <w:szCs w:val="24"/>
        </w:rPr>
        <w:t xml:space="preserve">amilies (TANF), veteran’s assistance funds, financial assistance for education, county public assistance funds, etc. </w:t>
      </w:r>
    </w:p>
    <w:p w14:paraId="5B6B400B" w14:textId="77777777" w:rsidR="00C94BE7" w:rsidRPr="00C562FB" w:rsidRDefault="00C94BE7" w:rsidP="001056AC">
      <w:pPr>
        <w:pStyle w:val="Style11"/>
        <w:spacing w:before="0" w:after="0"/>
        <w:jc w:val="both"/>
        <w:rPr>
          <w:rFonts w:ascii="Times New Roman" w:eastAsia="+mn-ea" w:hAnsi="Times New Roman" w:cs="Times New Roman"/>
          <w:kern w:val="24"/>
          <w:sz w:val="24"/>
          <w:szCs w:val="24"/>
        </w:rPr>
      </w:pPr>
    </w:p>
    <w:p w14:paraId="2C82463E" w14:textId="77777777" w:rsidR="006706FA" w:rsidRDefault="006706FA" w:rsidP="006706FA">
      <w:pPr>
        <w:pStyle w:val="Style11"/>
        <w:spacing w:before="0" w:after="0"/>
        <w:ind w:left="720"/>
        <w:jc w:val="both"/>
        <w:rPr>
          <w:rFonts w:ascii="Times New Roman" w:eastAsia="+mn-ea" w:hAnsi="Times New Roman" w:cs="Times New Roman"/>
          <w:b/>
          <w:color w:val="BB1F53"/>
          <w:kern w:val="24"/>
          <w:sz w:val="24"/>
          <w:szCs w:val="24"/>
        </w:rPr>
      </w:pPr>
    </w:p>
    <w:p w14:paraId="3E2AFB5B" w14:textId="77777777" w:rsidR="006706FA" w:rsidRDefault="006706FA" w:rsidP="006706FA">
      <w:pPr>
        <w:pStyle w:val="Style11"/>
        <w:spacing w:before="0" w:after="0"/>
        <w:ind w:left="720"/>
        <w:jc w:val="both"/>
        <w:rPr>
          <w:rFonts w:ascii="Times New Roman" w:eastAsia="+mn-ea" w:hAnsi="Times New Roman" w:cs="Times New Roman"/>
          <w:b/>
          <w:color w:val="BB1F53"/>
          <w:kern w:val="24"/>
          <w:sz w:val="24"/>
          <w:szCs w:val="24"/>
        </w:rPr>
      </w:pPr>
    </w:p>
    <w:p w14:paraId="3C84D664" w14:textId="5255D64F" w:rsidR="00B57FD7" w:rsidRPr="006706FA" w:rsidRDefault="00B57FD7" w:rsidP="006706FA">
      <w:pPr>
        <w:pStyle w:val="Style11"/>
        <w:numPr>
          <w:ilvl w:val="0"/>
          <w:numId w:val="42"/>
        </w:numPr>
        <w:spacing w:before="0" w:after="0"/>
        <w:jc w:val="both"/>
        <w:rPr>
          <w:rFonts w:ascii="Times New Roman" w:eastAsia="+mn-ea" w:hAnsi="Times New Roman" w:cs="Times New Roman"/>
          <w:b/>
          <w:color w:val="BB1F53"/>
          <w:kern w:val="24"/>
          <w:sz w:val="24"/>
          <w:szCs w:val="24"/>
        </w:rPr>
      </w:pPr>
      <w:r w:rsidRPr="006706FA">
        <w:rPr>
          <w:rFonts w:ascii="Times New Roman" w:eastAsia="+mn-ea" w:hAnsi="Times New Roman" w:cs="Times New Roman"/>
          <w:b/>
          <w:color w:val="BB1F53"/>
          <w:kern w:val="24"/>
          <w:sz w:val="24"/>
          <w:szCs w:val="24"/>
        </w:rPr>
        <w:t>Assistance with transportation</w:t>
      </w:r>
    </w:p>
    <w:p w14:paraId="4F217F7D" w14:textId="77777777" w:rsidR="00C94BE7" w:rsidRDefault="00C94BE7"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Transportation assistance may</w:t>
      </w:r>
      <w:r w:rsidR="00D66E12">
        <w:rPr>
          <w:rFonts w:ascii="Times New Roman" w:eastAsia="+mn-ea" w:hAnsi="Times New Roman" w:cs="Times New Roman"/>
          <w:kern w:val="24"/>
          <w:sz w:val="24"/>
          <w:szCs w:val="24"/>
        </w:rPr>
        <w:t xml:space="preserve"> include, but is not limited to</w:t>
      </w:r>
      <w:r>
        <w:rPr>
          <w:rFonts w:ascii="Times New Roman" w:eastAsia="+mn-ea" w:hAnsi="Times New Roman" w:cs="Times New Roman"/>
          <w:kern w:val="24"/>
          <w:sz w:val="24"/>
          <w:szCs w:val="24"/>
        </w:rPr>
        <w:t xml:space="preserve"> mileage reimbursem</w:t>
      </w:r>
      <w:r w:rsidR="005361EC">
        <w:rPr>
          <w:rFonts w:ascii="Times New Roman" w:eastAsia="+mn-ea" w:hAnsi="Times New Roman" w:cs="Times New Roman"/>
          <w:kern w:val="24"/>
          <w:sz w:val="24"/>
          <w:szCs w:val="24"/>
        </w:rPr>
        <w:t>ent, auto repairs, vehicle</w:t>
      </w:r>
      <w:r>
        <w:rPr>
          <w:rFonts w:ascii="Times New Roman" w:eastAsia="+mn-ea" w:hAnsi="Times New Roman" w:cs="Times New Roman"/>
          <w:kern w:val="24"/>
          <w:sz w:val="24"/>
          <w:szCs w:val="24"/>
        </w:rPr>
        <w:t xml:space="preserve"> liability insurance, bus, or other transportation fares. </w:t>
      </w:r>
    </w:p>
    <w:p w14:paraId="5324AAFC" w14:textId="77777777" w:rsidR="00C94BE7" w:rsidRDefault="00C94BE7" w:rsidP="001056AC">
      <w:pPr>
        <w:pStyle w:val="Style11"/>
        <w:spacing w:before="0" w:after="0"/>
        <w:jc w:val="both"/>
        <w:rPr>
          <w:rFonts w:ascii="Times New Roman" w:eastAsia="+mn-ea" w:hAnsi="Times New Roman" w:cs="Times New Roman"/>
          <w:kern w:val="24"/>
          <w:sz w:val="24"/>
          <w:szCs w:val="24"/>
        </w:rPr>
      </w:pPr>
    </w:p>
    <w:p w14:paraId="40C077D0" w14:textId="5393AE40" w:rsidR="001056AC" w:rsidRDefault="00C94BE7"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Mileage reimbursement assistan</w:t>
      </w:r>
      <w:r w:rsidR="00CD5C86">
        <w:rPr>
          <w:rFonts w:ascii="Times New Roman" w:eastAsia="+mn-ea" w:hAnsi="Times New Roman" w:cs="Times New Roman"/>
          <w:kern w:val="24"/>
          <w:sz w:val="24"/>
          <w:szCs w:val="24"/>
        </w:rPr>
        <w:t>ce may be provided to assist a</w:t>
      </w:r>
      <w:r>
        <w:rPr>
          <w:rFonts w:ascii="Times New Roman" w:eastAsia="+mn-ea" w:hAnsi="Times New Roman" w:cs="Times New Roman"/>
          <w:kern w:val="24"/>
          <w:sz w:val="24"/>
          <w:szCs w:val="24"/>
        </w:rPr>
        <w:t xml:space="preserve"> participant</w:t>
      </w:r>
      <w:r w:rsidR="00D36ACF">
        <w:rPr>
          <w:rFonts w:ascii="Times New Roman" w:eastAsia="+mn-ea" w:hAnsi="Times New Roman" w:cs="Times New Roman"/>
          <w:kern w:val="24"/>
          <w:sz w:val="24"/>
          <w:szCs w:val="24"/>
        </w:rPr>
        <w:t xml:space="preserve"> that travels at least 15 miles one-way</w:t>
      </w:r>
      <w:r>
        <w:rPr>
          <w:rFonts w:ascii="Times New Roman" w:eastAsia="+mn-ea" w:hAnsi="Times New Roman" w:cs="Times New Roman"/>
          <w:kern w:val="24"/>
          <w:sz w:val="24"/>
          <w:szCs w:val="24"/>
        </w:rPr>
        <w:t xml:space="preserve"> to get to employment, training, education, work experience, </w:t>
      </w:r>
      <w:r w:rsidR="00D36ACF">
        <w:rPr>
          <w:rFonts w:ascii="Times New Roman" w:eastAsia="+mn-ea" w:hAnsi="Times New Roman" w:cs="Times New Roman"/>
          <w:kern w:val="24"/>
          <w:sz w:val="24"/>
          <w:szCs w:val="24"/>
        </w:rPr>
        <w:t>and</w:t>
      </w:r>
      <w:r w:rsidR="00CD5C86">
        <w:rPr>
          <w:rFonts w:ascii="Times New Roman" w:eastAsia="+mn-ea" w:hAnsi="Times New Roman" w:cs="Times New Roman"/>
          <w:kern w:val="24"/>
          <w:sz w:val="24"/>
          <w:szCs w:val="24"/>
        </w:rPr>
        <w:t>/ or</w:t>
      </w:r>
      <w:r w:rsidR="00D36ACF">
        <w:rPr>
          <w:rFonts w:ascii="Times New Roman" w:eastAsia="+mn-ea" w:hAnsi="Times New Roman" w:cs="Times New Roman"/>
          <w:kern w:val="24"/>
          <w:sz w:val="24"/>
          <w:szCs w:val="24"/>
        </w:rPr>
        <w:t xml:space="preserve"> the </w:t>
      </w:r>
      <w:r w:rsidR="005361EC">
        <w:rPr>
          <w:rFonts w:ascii="Times New Roman" w:eastAsia="+mn-ea" w:hAnsi="Times New Roman" w:cs="Times New Roman"/>
          <w:kern w:val="24"/>
          <w:sz w:val="24"/>
          <w:szCs w:val="24"/>
        </w:rPr>
        <w:t xml:space="preserve">local </w:t>
      </w:r>
      <w:r>
        <w:rPr>
          <w:rFonts w:ascii="Times New Roman" w:eastAsia="+mn-ea" w:hAnsi="Times New Roman" w:cs="Times New Roman"/>
          <w:kern w:val="24"/>
          <w:sz w:val="24"/>
          <w:szCs w:val="24"/>
        </w:rPr>
        <w:t>caree</w:t>
      </w:r>
      <w:r w:rsidR="00D36ACF">
        <w:rPr>
          <w:rFonts w:ascii="Times New Roman" w:eastAsia="+mn-ea" w:hAnsi="Times New Roman" w:cs="Times New Roman"/>
          <w:kern w:val="24"/>
          <w:sz w:val="24"/>
          <w:szCs w:val="24"/>
        </w:rPr>
        <w:t>r center</w:t>
      </w:r>
      <w:r w:rsidR="00D66E12">
        <w:rPr>
          <w:rFonts w:ascii="Times New Roman" w:eastAsia="+mn-ea" w:hAnsi="Times New Roman" w:cs="Times New Roman"/>
          <w:kern w:val="24"/>
          <w:sz w:val="24"/>
          <w:szCs w:val="24"/>
        </w:rPr>
        <w:t xml:space="preserve">. </w:t>
      </w:r>
      <w:r w:rsidR="00EA5114">
        <w:rPr>
          <w:rFonts w:ascii="Times New Roman" w:eastAsia="+mn-ea" w:hAnsi="Times New Roman" w:cs="Times New Roman"/>
          <w:kern w:val="24"/>
          <w:sz w:val="24"/>
          <w:szCs w:val="24"/>
        </w:rPr>
        <w:t>Mileage reimbursement assistance has no cap limit besides the max</w:t>
      </w:r>
      <w:r w:rsidR="00505BA9">
        <w:rPr>
          <w:rFonts w:ascii="Times New Roman" w:eastAsia="+mn-ea" w:hAnsi="Times New Roman" w:cs="Times New Roman"/>
          <w:kern w:val="24"/>
          <w:sz w:val="24"/>
          <w:szCs w:val="24"/>
        </w:rPr>
        <w:t>imum transportation limit of $25</w:t>
      </w:r>
      <w:r w:rsidR="00EA5114">
        <w:rPr>
          <w:rFonts w:ascii="Times New Roman" w:eastAsia="+mn-ea" w:hAnsi="Times New Roman" w:cs="Times New Roman"/>
          <w:kern w:val="24"/>
          <w:sz w:val="24"/>
          <w:szCs w:val="24"/>
        </w:rPr>
        <w:t xml:space="preserve">00. </w:t>
      </w:r>
    </w:p>
    <w:p w14:paraId="32C1407A" w14:textId="7D32A18C" w:rsidR="005361EC" w:rsidRDefault="005361EC" w:rsidP="001056AC">
      <w:pPr>
        <w:pStyle w:val="Style11"/>
        <w:spacing w:before="0" w:after="0"/>
        <w:jc w:val="both"/>
        <w:rPr>
          <w:rFonts w:ascii="Times New Roman" w:eastAsia="+mn-ea" w:hAnsi="Times New Roman" w:cs="Times New Roman"/>
          <w:kern w:val="24"/>
          <w:sz w:val="24"/>
          <w:szCs w:val="24"/>
        </w:rPr>
      </w:pPr>
    </w:p>
    <w:p w14:paraId="3AD360F6" w14:textId="77777777" w:rsidR="005361EC" w:rsidRDefault="005361EC"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Vehicle liability insurance is limited to three months of liability insurance. </w:t>
      </w:r>
      <w:r w:rsidR="00EA5114">
        <w:rPr>
          <w:rFonts w:ascii="Times New Roman" w:eastAsia="+mn-ea" w:hAnsi="Times New Roman" w:cs="Times New Roman"/>
          <w:kern w:val="24"/>
          <w:sz w:val="24"/>
          <w:szCs w:val="24"/>
        </w:rPr>
        <w:t>Vehicle liability insurance is capped at $300.</w:t>
      </w:r>
    </w:p>
    <w:p w14:paraId="5A3B92A2" w14:textId="77777777" w:rsidR="005361EC" w:rsidRDefault="005361EC" w:rsidP="001056AC">
      <w:pPr>
        <w:pStyle w:val="Style11"/>
        <w:spacing w:before="0" w:after="0"/>
        <w:jc w:val="both"/>
        <w:rPr>
          <w:rFonts w:ascii="Times New Roman" w:eastAsia="+mn-ea" w:hAnsi="Times New Roman" w:cs="Times New Roman"/>
          <w:kern w:val="24"/>
          <w:sz w:val="24"/>
          <w:szCs w:val="24"/>
        </w:rPr>
      </w:pPr>
    </w:p>
    <w:p w14:paraId="3A7545D1" w14:textId="43CF8EBE" w:rsidR="005361EC" w:rsidRDefault="005361EC"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Auto repair payments are limited to repairs of an immediate need. Normal vehicle maintenance costs are not allowed. </w:t>
      </w:r>
      <w:r w:rsidR="00EA5114">
        <w:rPr>
          <w:rFonts w:ascii="Times New Roman" w:eastAsia="+mn-ea" w:hAnsi="Times New Roman" w:cs="Times New Roman"/>
          <w:kern w:val="24"/>
          <w:sz w:val="24"/>
          <w:szCs w:val="24"/>
        </w:rPr>
        <w:t>Auto repairs (i</w:t>
      </w:r>
      <w:r w:rsidR="00505BA9">
        <w:rPr>
          <w:rFonts w:ascii="Times New Roman" w:eastAsia="+mn-ea" w:hAnsi="Times New Roman" w:cs="Times New Roman"/>
          <w:kern w:val="24"/>
          <w:sz w:val="24"/>
          <w:szCs w:val="24"/>
        </w:rPr>
        <w:t>ncluding towing) is capped at $8</w:t>
      </w:r>
      <w:r w:rsidR="00EA5114">
        <w:rPr>
          <w:rFonts w:ascii="Times New Roman" w:eastAsia="+mn-ea" w:hAnsi="Times New Roman" w:cs="Times New Roman"/>
          <w:kern w:val="24"/>
          <w:sz w:val="24"/>
          <w:szCs w:val="24"/>
        </w:rPr>
        <w:t xml:space="preserve">00. </w:t>
      </w:r>
    </w:p>
    <w:p w14:paraId="40042B28" w14:textId="77777777" w:rsidR="00C94BE7" w:rsidRPr="00C94BE7" w:rsidRDefault="00C94BE7" w:rsidP="001056AC">
      <w:pPr>
        <w:pStyle w:val="Style11"/>
        <w:spacing w:before="0" w:after="0"/>
        <w:jc w:val="both"/>
        <w:rPr>
          <w:rFonts w:ascii="Times New Roman" w:eastAsia="+mn-ea" w:hAnsi="Times New Roman" w:cs="Times New Roman"/>
          <w:b/>
          <w:kern w:val="24"/>
          <w:sz w:val="24"/>
          <w:szCs w:val="24"/>
        </w:rPr>
      </w:pPr>
    </w:p>
    <w:p w14:paraId="7AF87B43" w14:textId="22553AEE" w:rsidR="00C94BE7" w:rsidRDefault="00C94BE7" w:rsidP="00C94BE7">
      <w:pPr>
        <w:pStyle w:val="Style11"/>
        <w:spacing w:before="0" w:after="0"/>
        <w:jc w:val="both"/>
        <w:rPr>
          <w:rFonts w:ascii="Times New Roman" w:hAnsi="Times New Roman" w:cs="Times New Roman"/>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Transportation limit per partici</w:t>
      </w:r>
      <w:r w:rsidR="00EA5114">
        <w:rPr>
          <w:rFonts w:ascii="Times New Roman" w:eastAsia="+mn-ea" w:hAnsi="Times New Roman" w:cs="Times New Roman"/>
          <w:kern w:val="24"/>
          <w:sz w:val="24"/>
          <w:szCs w:val="24"/>
        </w:rPr>
        <w:t>pant is $2</w:t>
      </w:r>
      <w:r w:rsidR="00505BA9">
        <w:rPr>
          <w:rFonts w:ascii="Times New Roman" w:eastAsia="+mn-ea" w:hAnsi="Times New Roman" w:cs="Times New Roman"/>
          <w:kern w:val="24"/>
          <w:sz w:val="24"/>
          <w:szCs w:val="24"/>
        </w:rPr>
        <w:t>5</w:t>
      </w:r>
      <w:r>
        <w:rPr>
          <w:rFonts w:ascii="Times New Roman" w:eastAsia="+mn-ea" w:hAnsi="Times New Roman" w:cs="Times New Roman"/>
          <w:kern w:val="24"/>
          <w:sz w:val="24"/>
          <w:szCs w:val="24"/>
        </w:rPr>
        <w:t xml:space="preserve">00. </w:t>
      </w:r>
      <w:r w:rsidRPr="00C94BE7">
        <w:rPr>
          <w:rFonts w:ascii="Times New Roman" w:hAnsi="Times New Roman" w:cs="Times New Roman"/>
          <w:sz w:val="24"/>
          <w:szCs w:val="24"/>
        </w:rPr>
        <w:t>This is not a minimum or flat funded amount, rather the amount of support</w:t>
      </w:r>
      <w:r w:rsidR="00CD5C86">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299DC276" w14:textId="77777777" w:rsidR="005361EC" w:rsidRPr="00C94BE7" w:rsidRDefault="005361EC" w:rsidP="00C94BE7">
      <w:pPr>
        <w:pStyle w:val="Style11"/>
        <w:spacing w:before="0" w:after="0"/>
        <w:jc w:val="both"/>
        <w:rPr>
          <w:rFonts w:ascii="Times New Roman" w:eastAsia="+mn-ea" w:hAnsi="Times New Roman" w:cs="Times New Roman"/>
          <w:kern w:val="24"/>
          <w:sz w:val="24"/>
          <w:szCs w:val="24"/>
        </w:rPr>
      </w:pPr>
    </w:p>
    <w:p w14:paraId="2439EBEE" w14:textId="77777777" w:rsidR="00B57FD7" w:rsidRDefault="00B57FD7" w:rsidP="00B57FD7">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Assistance with child care and dependent care</w:t>
      </w:r>
    </w:p>
    <w:p w14:paraId="5D1CD2BD" w14:textId="77777777" w:rsidR="00200030" w:rsidRDefault="00200030" w:rsidP="00200030">
      <w:pPr>
        <w:pStyle w:val="Style11"/>
        <w:spacing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Child care and d</w:t>
      </w:r>
      <w:r w:rsidRPr="00200030">
        <w:rPr>
          <w:rFonts w:ascii="Times New Roman" w:eastAsia="+mn-ea" w:hAnsi="Times New Roman" w:cs="Times New Roman"/>
          <w:kern w:val="24"/>
          <w:sz w:val="24"/>
          <w:szCs w:val="24"/>
        </w:rPr>
        <w:t xml:space="preserve">ependent care assistance may be utilized to help a participant meet their family care needs during WIOA Title I program participation. Dependent care service providers are selected by the </w:t>
      </w:r>
      <w:r w:rsidRPr="006706FA">
        <w:rPr>
          <w:rFonts w:ascii="Times New Roman" w:eastAsia="+mn-ea" w:hAnsi="Times New Roman" w:cs="Times New Roman"/>
          <w:kern w:val="24"/>
          <w:sz w:val="24"/>
          <w:szCs w:val="24"/>
        </w:rPr>
        <w:t xml:space="preserve">participant. </w:t>
      </w:r>
      <w:r w:rsidR="00C4361F" w:rsidRPr="006706FA">
        <w:rPr>
          <w:rFonts w:ascii="Times New Roman" w:eastAsia="+mn-ea" w:hAnsi="Times New Roman" w:cs="Times New Roman"/>
          <w:kern w:val="24"/>
          <w:sz w:val="24"/>
          <w:szCs w:val="24"/>
        </w:rPr>
        <w:t xml:space="preserve">Child care and dependent care is only provided for children related by blood, marriage or decree of court, who are living in the participant’s residence. </w:t>
      </w:r>
      <w:r w:rsidR="0095662E" w:rsidRPr="006706FA">
        <w:rPr>
          <w:rFonts w:ascii="Times New Roman" w:eastAsia="+mn-ea" w:hAnsi="Times New Roman" w:cs="Times New Roman"/>
          <w:kern w:val="24"/>
          <w:sz w:val="24"/>
          <w:szCs w:val="24"/>
        </w:rPr>
        <w:t xml:space="preserve">Child care and dependent providers must be licensed in order for direct payment or reimbursement. </w:t>
      </w:r>
      <w:r w:rsidRPr="006706FA">
        <w:rPr>
          <w:rFonts w:ascii="Times New Roman" w:eastAsia="+mn-ea" w:hAnsi="Times New Roman" w:cs="Times New Roman"/>
          <w:kern w:val="24"/>
          <w:sz w:val="24"/>
          <w:szCs w:val="24"/>
        </w:rPr>
        <w:t xml:space="preserve">Participants who are employed or attending training and in need of dependent care, should be referred to community dependent care </w:t>
      </w:r>
      <w:r w:rsidRPr="00200030">
        <w:rPr>
          <w:rFonts w:ascii="Times New Roman" w:eastAsia="+mn-ea" w:hAnsi="Times New Roman" w:cs="Times New Roman"/>
          <w:kern w:val="24"/>
          <w:sz w:val="24"/>
          <w:szCs w:val="24"/>
        </w:rPr>
        <w:t>assistance program(s). Ensure WIOA Title I funds do not duplicate childcare assistance available from another source. Participants should be encouraged to take advantage of financial literacy services to assist them with an on-going plan to pay for their dependent care expenses.</w:t>
      </w:r>
    </w:p>
    <w:p w14:paraId="35CD8F3A" w14:textId="77777777" w:rsidR="00200030" w:rsidRPr="00200030" w:rsidRDefault="00200030" w:rsidP="00200030">
      <w:pPr>
        <w:pStyle w:val="Style11"/>
        <w:spacing w:after="0"/>
        <w:jc w:val="both"/>
        <w:rPr>
          <w:rFonts w:ascii="Times New Roman" w:eastAsia="+mn-ea" w:hAnsi="Times New Roman" w:cs="Times New Roman"/>
          <w:kern w:val="24"/>
          <w:sz w:val="24"/>
          <w:szCs w:val="24"/>
        </w:rPr>
      </w:pPr>
    </w:p>
    <w:p w14:paraId="29FC737F" w14:textId="77777777" w:rsidR="00200030" w:rsidRPr="00200030" w:rsidRDefault="00200030" w:rsidP="00200030">
      <w:pPr>
        <w:pStyle w:val="Style11"/>
        <w:spacing w:after="0"/>
        <w:jc w:val="both"/>
        <w:rPr>
          <w:rFonts w:ascii="Times New Roman" w:eastAsia="+mn-ea" w:hAnsi="Times New Roman" w:cs="Times New Roman"/>
          <w:b/>
          <w:kern w:val="24"/>
          <w:sz w:val="24"/>
          <w:szCs w:val="24"/>
        </w:rPr>
      </w:pPr>
      <w:r w:rsidRPr="00200030">
        <w:rPr>
          <w:rFonts w:ascii="Times New Roman" w:eastAsia="+mn-ea" w:hAnsi="Times New Roman" w:cs="Times New Roman"/>
          <w:b/>
          <w:kern w:val="24"/>
          <w:sz w:val="24"/>
          <w:szCs w:val="24"/>
        </w:rPr>
        <w:t>Determine allowed dependent care cost</w:t>
      </w:r>
    </w:p>
    <w:p w14:paraId="54E7974B" w14:textId="77777777" w:rsidR="001056AC" w:rsidRDefault="00200030" w:rsidP="00200030">
      <w:pPr>
        <w:pStyle w:val="Style11"/>
        <w:spacing w:before="0" w:after="0"/>
        <w:jc w:val="both"/>
        <w:rPr>
          <w:rFonts w:ascii="Times New Roman" w:eastAsia="+mn-ea" w:hAnsi="Times New Roman" w:cs="Times New Roman"/>
          <w:kern w:val="24"/>
          <w:sz w:val="24"/>
          <w:szCs w:val="24"/>
        </w:rPr>
      </w:pPr>
      <w:r w:rsidRPr="00200030">
        <w:rPr>
          <w:rFonts w:ascii="Times New Roman" w:eastAsia="+mn-ea" w:hAnsi="Times New Roman" w:cs="Times New Roman"/>
          <w:kern w:val="24"/>
          <w:sz w:val="24"/>
          <w:szCs w:val="24"/>
        </w:rPr>
        <w:t>If a participant is receiving child care assistance from another agency, WIOA Title I will pay for the allowed dependent care costs after subtracting the received child care assistance amount. Supporting documentation in this instance must include verification of outside child care assistance.</w:t>
      </w:r>
    </w:p>
    <w:p w14:paraId="53A3EF03" w14:textId="77777777" w:rsidR="00200030" w:rsidRDefault="00200030" w:rsidP="00200030">
      <w:pPr>
        <w:pStyle w:val="Style11"/>
        <w:spacing w:before="0" w:after="0"/>
        <w:jc w:val="both"/>
        <w:rPr>
          <w:rFonts w:ascii="Times New Roman" w:eastAsia="+mn-ea" w:hAnsi="Times New Roman" w:cs="Times New Roman"/>
          <w:kern w:val="24"/>
          <w:sz w:val="24"/>
          <w:szCs w:val="24"/>
        </w:rPr>
      </w:pPr>
    </w:p>
    <w:p w14:paraId="53152CF7" w14:textId="77777777" w:rsidR="00200030" w:rsidRDefault="00200030" w:rsidP="00200030">
      <w:pPr>
        <w:pStyle w:val="Style11"/>
        <w:spacing w:before="0" w:after="0"/>
        <w:jc w:val="both"/>
        <w:rPr>
          <w:rFonts w:ascii="Times New Roman" w:eastAsia="+mn-ea" w:hAnsi="Times New Roman" w:cs="Times New Roman"/>
          <w:kern w:val="24"/>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Child care and dependent care limit per participant is $1000. </w:t>
      </w:r>
      <w:r w:rsidRPr="00C94BE7">
        <w:rPr>
          <w:rFonts w:ascii="Times New Roman" w:hAnsi="Times New Roman" w:cs="Times New Roman"/>
          <w:sz w:val="24"/>
          <w:szCs w:val="24"/>
        </w:rPr>
        <w:t>This is not a minimum or flat funded amount, rather the amount of support</w:t>
      </w:r>
      <w:r w:rsidR="00CD5C86">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6E6AE8A1" w14:textId="77777777" w:rsidR="00200030" w:rsidRPr="00200030" w:rsidRDefault="00200030" w:rsidP="00200030">
      <w:pPr>
        <w:pStyle w:val="Style11"/>
        <w:spacing w:before="0" w:after="0"/>
        <w:jc w:val="both"/>
        <w:rPr>
          <w:rFonts w:ascii="Times New Roman" w:eastAsia="+mn-ea" w:hAnsi="Times New Roman" w:cs="Times New Roman"/>
          <w:kern w:val="24"/>
          <w:sz w:val="24"/>
          <w:szCs w:val="24"/>
        </w:rPr>
      </w:pPr>
    </w:p>
    <w:p w14:paraId="166B4DB8" w14:textId="77777777" w:rsidR="00B57FD7" w:rsidRDefault="00B57FD7" w:rsidP="00B57FD7">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 xml:space="preserve">Assistance with housing </w:t>
      </w:r>
    </w:p>
    <w:p w14:paraId="2D914E9B" w14:textId="77777777" w:rsidR="001056AC" w:rsidRDefault="009206B3" w:rsidP="009206B3">
      <w:pPr>
        <w:pStyle w:val="Style11"/>
        <w:spacing w:before="0" w:after="0"/>
        <w:jc w:val="both"/>
        <w:rPr>
          <w:rFonts w:ascii="Times New Roman" w:eastAsia="+mn-ea" w:hAnsi="Times New Roman" w:cs="Times New Roman"/>
          <w:kern w:val="24"/>
          <w:sz w:val="24"/>
          <w:szCs w:val="24"/>
        </w:rPr>
      </w:pPr>
      <w:r w:rsidRPr="009206B3">
        <w:rPr>
          <w:rFonts w:ascii="Times New Roman" w:eastAsia="+mn-ea" w:hAnsi="Times New Roman" w:cs="Times New Roman"/>
          <w:kern w:val="24"/>
          <w:sz w:val="24"/>
          <w:szCs w:val="24"/>
        </w:rPr>
        <w:t xml:space="preserve">Housing assistance provided to participants allows participants to maintain or obtain adequate or temporary shelter while participating in WIOA Title I services. </w:t>
      </w:r>
      <w:r>
        <w:rPr>
          <w:rFonts w:ascii="Times New Roman" w:eastAsia="+mn-ea" w:hAnsi="Times New Roman" w:cs="Times New Roman"/>
          <w:kern w:val="24"/>
          <w:sz w:val="24"/>
          <w:szCs w:val="24"/>
        </w:rPr>
        <w:t xml:space="preserve">Housing </w:t>
      </w:r>
      <w:r w:rsidRPr="009206B3">
        <w:rPr>
          <w:rFonts w:ascii="Times New Roman" w:eastAsia="+mn-ea" w:hAnsi="Times New Roman" w:cs="Times New Roman"/>
          <w:kern w:val="24"/>
          <w:sz w:val="24"/>
          <w:szCs w:val="24"/>
        </w:rPr>
        <w:t>assistance may include</w:t>
      </w:r>
      <w:r>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lastRenderedPageBreak/>
        <w:t>but is not limited to the</w:t>
      </w:r>
      <w:r w:rsidRPr="009206B3">
        <w:rPr>
          <w:rFonts w:ascii="Times New Roman" w:eastAsia="+mn-ea" w:hAnsi="Times New Roman" w:cs="Times New Roman"/>
          <w:kern w:val="24"/>
          <w:sz w:val="24"/>
          <w:szCs w:val="24"/>
        </w:rPr>
        <w:t xml:space="preserve"> cost for rent, </w:t>
      </w:r>
      <w:r>
        <w:rPr>
          <w:rFonts w:ascii="Times New Roman" w:eastAsia="+mn-ea" w:hAnsi="Times New Roman" w:cs="Times New Roman"/>
          <w:kern w:val="24"/>
          <w:sz w:val="24"/>
          <w:szCs w:val="24"/>
        </w:rPr>
        <w:t xml:space="preserve">mortgage payment, </w:t>
      </w:r>
      <w:r w:rsidRPr="009206B3">
        <w:rPr>
          <w:rFonts w:ascii="Times New Roman" w:eastAsia="+mn-ea" w:hAnsi="Times New Roman" w:cs="Times New Roman"/>
          <w:kern w:val="24"/>
          <w:sz w:val="24"/>
          <w:szCs w:val="24"/>
        </w:rPr>
        <w:t>temporary housing</w:t>
      </w:r>
      <w:r w:rsidR="00CD5C86">
        <w:rPr>
          <w:rFonts w:ascii="Times New Roman" w:eastAsia="+mn-ea" w:hAnsi="Times New Roman" w:cs="Times New Roman"/>
          <w:kern w:val="24"/>
          <w:sz w:val="24"/>
          <w:szCs w:val="24"/>
        </w:rPr>
        <w:t xml:space="preserve"> in a motel/hotel or apartment and </w:t>
      </w:r>
      <w:r w:rsidRPr="009206B3">
        <w:rPr>
          <w:rFonts w:ascii="Times New Roman" w:eastAsia="+mn-ea" w:hAnsi="Times New Roman" w:cs="Times New Roman"/>
          <w:kern w:val="24"/>
          <w:sz w:val="24"/>
          <w:szCs w:val="24"/>
        </w:rPr>
        <w:t xml:space="preserve">utility </w:t>
      </w:r>
      <w:r w:rsidR="00401EEB" w:rsidRPr="009206B3">
        <w:rPr>
          <w:rFonts w:ascii="Times New Roman" w:eastAsia="+mn-ea" w:hAnsi="Times New Roman" w:cs="Times New Roman"/>
          <w:kern w:val="24"/>
          <w:sz w:val="24"/>
          <w:szCs w:val="24"/>
        </w:rPr>
        <w:t>payments</w:t>
      </w:r>
      <w:r w:rsidR="00221827">
        <w:rPr>
          <w:rFonts w:ascii="Times New Roman" w:eastAsia="+mn-ea" w:hAnsi="Times New Roman" w:cs="Times New Roman"/>
          <w:kern w:val="24"/>
          <w:sz w:val="24"/>
          <w:szCs w:val="24"/>
        </w:rPr>
        <w:t xml:space="preserve">. </w:t>
      </w:r>
      <w:r w:rsidR="00EA5114">
        <w:rPr>
          <w:rFonts w:ascii="Times New Roman" w:eastAsia="+mn-ea" w:hAnsi="Times New Roman" w:cs="Times New Roman"/>
          <w:kern w:val="24"/>
          <w:sz w:val="24"/>
          <w:szCs w:val="24"/>
        </w:rPr>
        <w:t>Housing assistance is an</w:t>
      </w:r>
      <w:r w:rsidRPr="009206B3">
        <w:rPr>
          <w:rFonts w:ascii="Times New Roman" w:eastAsia="+mn-ea" w:hAnsi="Times New Roman" w:cs="Times New Roman"/>
          <w:kern w:val="24"/>
          <w:sz w:val="24"/>
          <w:szCs w:val="24"/>
        </w:rPr>
        <w:t xml:space="preserve"> emergency </w:t>
      </w:r>
      <w:r w:rsidR="00540A99" w:rsidRPr="009206B3">
        <w:rPr>
          <w:rFonts w:ascii="Times New Roman" w:eastAsia="+mn-ea" w:hAnsi="Times New Roman" w:cs="Times New Roman"/>
          <w:kern w:val="24"/>
          <w:sz w:val="24"/>
          <w:szCs w:val="24"/>
        </w:rPr>
        <w:t>intervention;</w:t>
      </w:r>
      <w:r w:rsidRPr="009206B3">
        <w:rPr>
          <w:rFonts w:ascii="Times New Roman" w:eastAsia="+mn-ea" w:hAnsi="Times New Roman" w:cs="Times New Roman"/>
          <w:kern w:val="24"/>
          <w:sz w:val="24"/>
          <w:szCs w:val="24"/>
        </w:rPr>
        <w:t xml:space="preserve"> a plan must be established to ensure the client will be able t</w:t>
      </w:r>
      <w:r w:rsidR="00540A99">
        <w:rPr>
          <w:rFonts w:ascii="Times New Roman" w:eastAsia="+mn-ea" w:hAnsi="Times New Roman" w:cs="Times New Roman"/>
          <w:kern w:val="24"/>
          <w:sz w:val="24"/>
          <w:szCs w:val="24"/>
        </w:rPr>
        <w:t>o meet long-term housing needs. Participants should be encouraged to take advantage of financial literacy services to assist them with an on-going plan to pay for their housing expenses.</w:t>
      </w:r>
    </w:p>
    <w:p w14:paraId="3A816414" w14:textId="77777777" w:rsidR="00221827" w:rsidRDefault="00221827" w:rsidP="009206B3">
      <w:pPr>
        <w:pStyle w:val="Style11"/>
        <w:spacing w:before="0" w:after="0"/>
        <w:jc w:val="both"/>
        <w:rPr>
          <w:rFonts w:ascii="Times New Roman" w:eastAsia="+mn-ea" w:hAnsi="Times New Roman" w:cs="Times New Roman"/>
          <w:kern w:val="24"/>
          <w:sz w:val="24"/>
          <w:szCs w:val="24"/>
        </w:rPr>
      </w:pPr>
    </w:p>
    <w:p w14:paraId="5CE17191" w14:textId="77777777" w:rsidR="00540A99" w:rsidRDefault="00540A99" w:rsidP="00540A99">
      <w:pPr>
        <w:pStyle w:val="Style11"/>
        <w:spacing w:before="0" w:after="0"/>
        <w:jc w:val="both"/>
        <w:rPr>
          <w:rFonts w:ascii="Times New Roman" w:hAnsi="Times New Roman" w:cs="Times New Roman"/>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Housing </w:t>
      </w:r>
      <w:r w:rsidR="00CD5C86">
        <w:rPr>
          <w:rFonts w:ascii="Times New Roman" w:eastAsia="+mn-ea" w:hAnsi="Times New Roman" w:cs="Times New Roman"/>
          <w:kern w:val="24"/>
          <w:sz w:val="24"/>
          <w:szCs w:val="24"/>
        </w:rPr>
        <w:t xml:space="preserve">limit per participant is $1000. </w:t>
      </w:r>
      <w:r w:rsidRPr="00C94BE7">
        <w:rPr>
          <w:rFonts w:ascii="Times New Roman" w:hAnsi="Times New Roman" w:cs="Times New Roman"/>
          <w:sz w:val="24"/>
          <w:szCs w:val="24"/>
        </w:rPr>
        <w:t>This is not a minimum or flat funded amount, rather the amount of support</w:t>
      </w:r>
      <w:r w:rsidR="00CD5C86">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4FCE9DEB" w14:textId="77777777" w:rsidR="00CD5C86" w:rsidRPr="00C94BE7" w:rsidRDefault="00CD5C86" w:rsidP="00540A99">
      <w:pPr>
        <w:pStyle w:val="Style11"/>
        <w:spacing w:before="0" w:after="0"/>
        <w:jc w:val="both"/>
        <w:rPr>
          <w:rFonts w:ascii="Times New Roman" w:eastAsia="+mn-ea" w:hAnsi="Times New Roman" w:cs="Times New Roman"/>
          <w:kern w:val="24"/>
          <w:sz w:val="24"/>
          <w:szCs w:val="24"/>
        </w:rPr>
      </w:pPr>
    </w:p>
    <w:p w14:paraId="448D1CD5" w14:textId="77777777" w:rsidR="00CD5C86" w:rsidRDefault="00CD5C86"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Pr>
          <w:rFonts w:ascii="Times New Roman" w:eastAsia="+mn-ea" w:hAnsi="Times New Roman" w:cs="Times New Roman"/>
          <w:b/>
          <w:color w:val="BB1F53"/>
          <w:kern w:val="24"/>
          <w:sz w:val="24"/>
          <w:szCs w:val="24"/>
        </w:rPr>
        <w:t>Assistance with relocation and pre-employment interviews</w:t>
      </w:r>
    </w:p>
    <w:p w14:paraId="7497F6C2" w14:textId="77777777" w:rsidR="00CD5C86" w:rsidRDefault="00CD5C86" w:rsidP="00CD5C86">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Supportive service funds may be utilized to assist a participant with the cost of relocation and pre-employment interviews. Relocation and pre-employment interview assistance is limited to unemployed participants who cannot obtain employment within their commuting area (commute area is considered to be 50 miles) that meets their skill level and/or has a sufficient wage. The relocation or pre-employment interview must be located in Nebraska and for permanent employment. The participant must have secured self-sufficient, long-term employment that has been verified in writing outside their commuting area or have secured a pre-employment interview, documented by a letter from the prospective employer outside their commuting area. Relocation and pre-employment expenses may include:</w:t>
      </w:r>
    </w:p>
    <w:p w14:paraId="04E27973" w14:textId="77777777" w:rsidR="00CD5C86" w:rsidRDefault="00CD5C86" w:rsidP="00CD5C86">
      <w:pPr>
        <w:pStyle w:val="Style11"/>
        <w:numPr>
          <w:ilvl w:val="0"/>
          <w:numId w:val="44"/>
        </w:numPr>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Transportation and lodging for the participant’s pre-employment interview</w:t>
      </w:r>
    </w:p>
    <w:p w14:paraId="7F59E5C0" w14:textId="77777777" w:rsidR="00CD5C86" w:rsidRDefault="00CD5C86" w:rsidP="00CD5C86">
      <w:pPr>
        <w:pStyle w:val="Style11"/>
        <w:numPr>
          <w:ilvl w:val="0"/>
          <w:numId w:val="44"/>
        </w:numPr>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Transportation for the participant to the relocation area</w:t>
      </w:r>
    </w:p>
    <w:p w14:paraId="36CFE0B3" w14:textId="77777777" w:rsidR="00CD5C86" w:rsidRDefault="00CD5C86" w:rsidP="00CD5C86">
      <w:pPr>
        <w:pStyle w:val="Style11"/>
        <w:numPr>
          <w:ilvl w:val="0"/>
          <w:numId w:val="44"/>
        </w:numPr>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Lodging for the participant during the relocation transition</w:t>
      </w:r>
    </w:p>
    <w:p w14:paraId="5FEC06DF" w14:textId="77777777" w:rsidR="00CD5C86" w:rsidRDefault="00CD5C86" w:rsidP="00CD5C86">
      <w:pPr>
        <w:pStyle w:val="Style11"/>
        <w:numPr>
          <w:ilvl w:val="0"/>
          <w:numId w:val="44"/>
        </w:numPr>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Transportation of household goods to the relocation area including the cost of renting a trailer, moving truck, or hiring a commercial carrier</w:t>
      </w:r>
    </w:p>
    <w:p w14:paraId="7CD07CAA" w14:textId="77777777" w:rsidR="00CD5C86" w:rsidRDefault="00CD5C86" w:rsidP="00CD5C86">
      <w:pPr>
        <w:pStyle w:val="Style11"/>
        <w:numPr>
          <w:ilvl w:val="0"/>
          <w:numId w:val="44"/>
        </w:numPr>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Temporary storage (up to 60 days) of household effects</w:t>
      </w:r>
    </w:p>
    <w:p w14:paraId="654B75EC" w14:textId="77777777" w:rsidR="00CD5C86" w:rsidRDefault="00CD5C86" w:rsidP="00125C1A">
      <w:pPr>
        <w:pStyle w:val="Style11"/>
        <w:spacing w:before="0" w:after="0"/>
        <w:ind w:left="780"/>
        <w:jc w:val="both"/>
        <w:rPr>
          <w:rFonts w:ascii="Times New Roman" w:eastAsia="+mn-ea" w:hAnsi="Times New Roman" w:cs="Times New Roman"/>
          <w:kern w:val="24"/>
          <w:sz w:val="24"/>
          <w:szCs w:val="24"/>
        </w:rPr>
      </w:pPr>
    </w:p>
    <w:p w14:paraId="1AF7DBCB" w14:textId="77777777" w:rsidR="00540A99" w:rsidRDefault="00CD5C86" w:rsidP="009206B3">
      <w:pPr>
        <w:pStyle w:val="Style11"/>
        <w:spacing w:before="0" w:after="0"/>
        <w:jc w:val="both"/>
        <w:rPr>
          <w:rFonts w:ascii="Times New Roman" w:hAnsi="Times New Roman" w:cs="Times New Roman"/>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Relocation and pre-employment interview limit per participant is $2000. </w:t>
      </w:r>
      <w:r w:rsidRPr="00C94BE7">
        <w:rPr>
          <w:rFonts w:ascii="Times New Roman" w:hAnsi="Times New Roman" w:cs="Times New Roman"/>
          <w:sz w:val="24"/>
          <w:szCs w:val="24"/>
        </w:rPr>
        <w:t>This is not a minimum or flat funded amount, rather the amount of support</w:t>
      </w:r>
      <w:r>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31B7B44B" w14:textId="77777777" w:rsidR="00CD5C86" w:rsidRDefault="00CD5C86" w:rsidP="009206B3">
      <w:pPr>
        <w:pStyle w:val="Style11"/>
        <w:spacing w:before="0" w:after="0"/>
        <w:jc w:val="both"/>
        <w:rPr>
          <w:rFonts w:ascii="Times New Roman" w:eastAsia="+mn-ea" w:hAnsi="Times New Roman" w:cs="Times New Roman"/>
          <w:kern w:val="24"/>
          <w:sz w:val="24"/>
          <w:szCs w:val="24"/>
        </w:rPr>
      </w:pPr>
    </w:p>
    <w:p w14:paraId="6F8C67E7" w14:textId="77777777" w:rsidR="00B57FD7"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Assistance with education</w:t>
      </w:r>
      <w:r w:rsidR="00A61D5F">
        <w:rPr>
          <w:rFonts w:ascii="Times New Roman" w:eastAsia="+mn-ea" w:hAnsi="Times New Roman" w:cs="Times New Roman"/>
          <w:b/>
          <w:color w:val="BB1F53"/>
          <w:kern w:val="24"/>
          <w:sz w:val="24"/>
          <w:szCs w:val="24"/>
        </w:rPr>
        <w:t>al</w:t>
      </w:r>
      <w:r w:rsidRPr="001056AC">
        <w:rPr>
          <w:rFonts w:ascii="Times New Roman" w:eastAsia="+mn-ea" w:hAnsi="Times New Roman" w:cs="Times New Roman"/>
          <w:b/>
          <w:color w:val="BB1F53"/>
          <w:kern w:val="24"/>
          <w:sz w:val="24"/>
          <w:szCs w:val="24"/>
        </w:rPr>
        <w:t xml:space="preserve"> testing</w:t>
      </w:r>
    </w:p>
    <w:p w14:paraId="787AEDC5" w14:textId="77777777" w:rsidR="001056AC" w:rsidRDefault="00BB6ABA"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Support</w:t>
      </w:r>
      <w:r w:rsidR="008606DF">
        <w:rPr>
          <w:rFonts w:ascii="Times New Roman" w:eastAsia="+mn-ea" w:hAnsi="Times New Roman" w:cs="Times New Roman"/>
          <w:kern w:val="24"/>
          <w:sz w:val="24"/>
          <w:szCs w:val="24"/>
        </w:rPr>
        <w:t>ive</w:t>
      </w:r>
      <w:r w:rsidR="00C6448B" w:rsidRPr="00C6448B">
        <w:rPr>
          <w:rFonts w:ascii="Times New Roman" w:eastAsia="+mn-ea" w:hAnsi="Times New Roman" w:cs="Times New Roman"/>
          <w:kern w:val="24"/>
          <w:sz w:val="24"/>
          <w:szCs w:val="24"/>
        </w:rPr>
        <w:t xml:space="preserve"> service funds may be utilized to assist a participant with the cost of an exam or educational test to enable them to advance along a career or educational pathway. Examples include but are not limited to ACT exams, high school equivalency exams, NCLEX exam, LPN exam, etc.</w:t>
      </w:r>
    </w:p>
    <w:p w14:paraId="1F008B4A" w14:textId="77777777" w:rsidR="00A61D5F" w:rsidRDefault="00A61D5F" w:rsidP="001056AC">
      <w:pPr>
        <w:pStyle w:val="Style11"/>
        <w:spacing w:before="0" w:after="0"/>
        <w:jc w:val="both"/>
        <w:rPr>
          <w:rFonts w:ascii="Times New Roman" w:eastAsia="+mn-ea" w:hAnsi="Times New Roman" w:cs="Times New Roman"/>
          <w:kern w:val="24"/>
          <w:sz w:val="24"/>
          <w:szCs w:val="24"/>
        </w:rPr>
      </w:pPr>
    </w:p>
    <w:p w14:paraId="72EC5EEF" w14:textId="77777777" w:rsidR="00A61D5F" w:rsidRDefault="00A61D5F" w:rsidP="00A61D5F">
      <w:pPr>
        <w:pStyle w:val="Style11"/>
        <w:spacing w:before="0" w:after="0"/>
        <w:jc w:val="both"/>
        <w:rPr>
          <w:rFonts w:ascii="Times New Roman" w:hAnsi="Times New Roman" w:cs="Times New Roman"/>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There is no limit on educational testing besides the</w:t>
      </w:r>
      <w:r w:rsidR="00C35E84">
        <w:rPr>
          <w:rFonts w:ascii="Times New Roman" w:eastAsia="+mn-ea" w:hAnsi="Times New Roman" w:cs="Times New Roman"/>
          <w:kern w:val="24"/>
          <w:sz w:val="24"/>
          <w:szCs w:val="24"/>
        </w:rPr>
        <w:t xml:space="preserve"> lifetime</w:t>
      </w:r>
      <w:r>
        <w:rPr>
          <w:rFonts w:ascii="Times New Roman" w:eastAsia="+mn-ea" w:hAnsi="Times New Roman" w:cs="Times New Roman"/>
          <w:kern w:val="24"/>
          <w:sz w:val="24"/>
          <w:szCs w:val="24"/>
        </w:rPr>
        <w:t xml:space="preserve"> supportive service cap but must be </w:t>
      </w:r>
      <w:r w:rsidRPr="00C94BE7">
        <w:rPr>
          <w:rFonts w:ascii="Times New Roman" w:hAnsi="Times New Roman" w:cs="Times New Roman"/>
          <w:sz w:val="24"/>
          <w:szCs w:val="24"/>
        </w:rPr>
        <w:t>based on individual need.</w:t>
      </w:r>
    </w:p>
    <w:p w14:paraId="7102FAD8" w14:textId="77777777" w:rsidR="00A61D5F" w:rsidRPr="00C94BE7" w:rsidRDefault="00A61D5F" w:rsidP="00A61D5F">
      <w:pPr>
        <w:pStyle w:val="Style11"/>
        <w:spacing w:before="0" w:after="0"/>
        <w:jc w:val="both"/>
        <w:rPr>
          <w:rFonts w:ascii="Times New Roman" w:eastAsia="+mn-ea" w:hAnsi="Times New Roman" w:cs="Times New Roman"/>
          <w:kern w:val="24"/>
          <w:sz w:val="24"/>
          <w:szCs w:val="24"/>
        </w:rPr>
      </w:pPr>
    </w:p>
    <w:p w14:paraId="1A5E32C6" w14:textId="77777777" w:rsidR="00E7364D" w:rsidRDefault="00E7364D"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 xml:space="preserve">Payments and fees for employment and training-related applications, tests, and certifications. </w:t>
      </w:r>
    </w:p>
    <w:p w14:paraId="2ACE849D" w14:textId="77777777" w:rsidR="00E7364D" w:rsidRPr="00C6448B" w:rsidRDefault="00E7364D" w:rsidP="00E7364D">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Support</w:t>
      </w:r>
      <w:r w:rsidR="008606DF">
        <w:rPr>
          <w:rFonts w:ascii="Times New Roman" w:eastAsia="+mn-ea" w:hAnsi="Times New Roman" w:cs="Times New Roman"/>
          <w:kern w:val="24"/>
          <w:sz w:val="24"/>
          <w:szCs w:val="24"/>
        </w:rPr>
        <w:t>ive</w:t>
      </w:r>
      <w:r w:rsidRPr="00C6448B">
        <w:rPr>
          <w:rFonts w:ascii="Times New Roman" w:eastAsia="+mn-ea" w:hAnsi="Times New Roman" w:cs="Times New Roman"/>
          <w:kern w:val="24"/>
          <w:sz w:val="24"/>
          <w:szCs w:val="24"/>
        </w:rPr>
        <w:t xml:space="preserve"> service funds may be utilized to assist </w:t>
      </w:r>
      <w:r w:rsidR="008606DF">
        <w:rPr>
          <w:rFonts w:ascii="Times New Roman" w:eastAsia="+mn-ea" w:hAnsi="Times New Roman" w:cs="Times New Roman"/>
          <w:kern w:val="24"/>
          <w:sz w:val="24"/>
          <w:szCs w:val="24"/>
        </w:rPr>
        <w:t>a participant with the cost of employment and training-</w:t>
      </w:r>
      <w:r w:rsidR="00A61D5F">
        <w:rPr>
          <w:rFonts w:ascii="Times New Roman" w:eastAsia="+mn-ea" w:hAnsi="Times New Roman" w:cs="Times New Roman"/>
          <w:kern w:val="24"/>
          <w:sz w:val="24"/>
          <w:szCs w:val="24"/>
        </w:rPr>
        <w:t>related application</w:t>
      </w:r>
      <w:r w:rsidR="008606DF">
        <w:rPr>
          <w:rFonts w:ascii="Times New Roman" w:eastAsia="+mn-ea" w:hAnsi="Times New Roman" w:cs="Times New Roman"/>
          <w:kern w:val="24"/>
          <w:sz w:val="24"/>
          <w:szCs w:val="24"/>
        </w:rPr>
        <w:t>s</w:t>
      </w:r>
      <w:r w:rsidR="00A61D5F">
        <w:rPr>
          <w:rFonts w:ascii="Times New Roman" w:eastAsia="+mn-ea" w:hAnsi="Times New Roman" w:cs="Times New Roman"/>
          <w:kern w:val="24"/>
          <w:sz w:val="24"/>
          <w:szCs w:val="24"/>
        </w:rPr>
        <w:t>, exam</w:t>
      </w:r>
      <w:r w:rsidR="008606DF">
        <w:rPr>
          <w:rFonts w:ascii="Times New Roman" w:eastAsia="+mn-ea" w:hAnsi="Times New Roman" w:cs="Times New Roman"/>
          <w:kern w:val="24"/>
          <w:sz w:val="24"/>
          <w:szCs w:val="24"/>
        </w:rPr>
        <w:t>s</w:t>
      </w:r>
      <w:r w:rsidR="00A61D5F">
        <w:rPr>
          <w:rFonts w:ascii="Times New Roman" w:eastAsia="+mn-ea" w:hAnsi="Times New Roman" w:cs="Times New Roman"/>
          <w:kern w:val="24"/>
          <w:sz w:val="24"/>
          <w:szCs w:val="24"/>
        </w:rPr>
        <w:t>, or</w:t>
      </w:r>
      <w:r w:rsidRPr="00C6448B">
        <w:rPr>
          <w:rFonts w:ascii="Times New Roman" w:eastAsia="+mn-ea" w:hAnsi="Times New Roman" w:cs="Times New Roman"/>
          <w:kern w:val="24"/>
          <w:sz w:val="24"/>
          <w:szCs w:val="24"/>
        </w:rPr>
        <w:t xml:space="preserve"> test</w:t>
      </w:r>
      <w:r w:rsidR="008606DF">
        <w:rPr>
          <w:rFonts w:ascii="Times New Roman" w:eastAsia="+mn-ea" w:hAnsi="Times New Roman" w:cs="Times New Roman"/>
          <w:kern w:val="24"/>
          <w:sz w:val="24"/>
          <w:szCs w:val="24"/>
        </w:rPr>
        <w:t>s</w:t>
      </w:r>
      <w:r w:rsidRPr="00C6448B">
        <w:rPr>
          <w:rFonts w:ascii="Times New Roman" w:eastAsia="+mn-ea" w:hAnsi="Times New Roman" w:cs="Times New Roman"/>
          <w:kern w:val="24"/>
          <w:sz w:val="24"/>
          <w:szCs w:val="24"/>
        </w:rPr>
        <w:t xml:space="preserve"> to enable th</w:t>
      </w:r>
      <w:r w:rsidR="00A61D5F">
        <w:rPr>
          <w:rFonts w:ascii="Times New Roman" w:eastAsia="+mn-ea" w:hAnsi="Times New Roman" w:cs="Times New Roman"/>
          <w:kern w:val="24"/>
          <w:sz w:val="24"/>
          <w:szCs w:val="24"/>
        </w:rPr>
        <w:t xml:space="preserve">em to advance along a career </w:t>
      </w:r>
      <w:r w:rsidRPr="00C6448B">
        <w:rPr>
          <w:rFonts w:ascii="Times New Roman" w:eastAsia="+mn-ea" w:hAnsi="Times New Roman" w:cs="Times New Roman"/>
          <w:kern w:val="24"/>
          <w:sz w:val="24"/>
          <w:szCs w:val="24"/>
        </w:rPr>
        <w:t>pathway. Examples include but are not limited to fees for post-secondary applications, re-licensing, driver’s licenses, background checks, finger printing, etc.</w:t>
      </w:r>
    </w:p>
    <w:p w14:paraId="4FC234BB" w14:textId="77777777" w:rsidR="00E7364D" w:rsidRDefault="00E7364D" w:rsidP="001056AC">
      <w:pPr>
        <w:pStyle w:val="Style11"/>
        <w:spacing w:before="0" w:after="0"/>
        <w:jc w:val="both"/>
        <w:rPr>
          <w:rFonts w:ascii="Times New Roman" w:eastAsia="+mn-ea" w:hAnsi="Times New Roman" w:cs="Times New Roman"/>
          <w:kern w:val="24"/>
          <w:sz w:val="24"/>
          <w:szCs w:val="24"/>
        </w:rPr>
      </w:pPr>
    </w:p>
    <w:p w14:paraId="686DBE87" w14:textId="77777777" w:rsidR="00A61D5F" w:rsidRPr="00C94BE7" w:rsidRDefault="00A61D5F" w:rsidP="00A61D5F">
      <w:pPr>
        <w:pStyle w:val="Style11"/>
        <w:spacing w:before="0" w:after="0"/>
        <w:jc w:val="both"/>
        <w:rPr>
          <w:rFonts w:ascii="Times New Roman" w:eastAsia="+mn-ea" w:hAnsi="Times New Roman" w:cs="Times New Roman"/>
          <w:kern w:val="24"/>
          <w:sz w:val="24"/>
          <w:szCs w:val="24"/>
        </w:rPr>
      </w:pPr>
      <w:r w:rsidRPr="00C94BE7">
        <w:rPr>
          <w:rFonts w:ascii="Times New Roman" w:eastAsia="+mn-ea" w:hAnsi="Times New Roman" w:cs="Times New Roman"/>
          <w:b/>
          <w:kern w:val="24"/>
          <w:sz w:val="24"/>
          <w:szCs w:val="24"/>
        </w:rPr>
        <w:t>Maximum limit:</w:t>
      </w:r>
      <w:r w:rsidR="008606DF">
        <w:rPr>
          <w:rFonts w:ascii="Times New Roman" w:eastAsia="+mn-ea" w:hAnsi="Times New Roman" w:cs="Times New Roman"/>
          <w:kern w:val="24"/>
          <w:sz w:val="24"/>
          <w:szCs w:val="24"/>
        </w:rPr>
        <w:t xml:space="preserve"> Employment and t</w:t>
      </w:r>
      <w:r>
        <w:rPr>
          <w:rFonts w:ascii="Times New Roman" w:eastAsia="+mn-ea" w:hAnsi="Times New Roman" w:cs="Times New Roman"/>
          <w:kern w:val="24"/>
          <w:sz w:val="24"/>
          <w:szCs w:val="24"/>
        </w:rPr>
        <w:t xml:space="preserve">raining-related cost limit per participant is $1000. </w:t>
      </w:r>
      <w:r w:rsidRPr="00C94BE7">
        <w:rPr>
          <w:rFonts w:ascii="Times New Roman" w:hAnsi="Times New Roman" w:cs="Times New Roman"/>
          <w:sz w:val="24"/>
          <w:szCs w:val="24"/>
        </w:rPr>
        <w:t>This is not a minimum or flat funded amount, rather the amount of support</w:t>
      </w:r>
      <w:r w:rsidR="00FA6646">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55331DA7" w14:textId="77777777" w:rsidR="00834E84" w:rsidRDefault="00834E84" w:rsidP="001056AC">
      <w:pPr>
        <w:pStyle w:val="Style11"/>
        <w:spacing w:before="0" w:after="0"/>
        <w:jc w:val="both"/>
        <w:rPr>
          <w:rFonts w:ascii="Times New Roman" w:eastAsia="+mn-ea" w:hAnsi="Times New Roman" w:cs="Times New Roman"/>
          <w:kern w:val="24"/>
          <w:sz w:val="24"/>
          <w:szCs w:val="24"/>
        </w:rPr>
      </w:pPr>
    </w:p>
    <w:p w14:paraId="25057CFE" w14:textId="77777777" w:rsidR="00B57FD7"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 xml:space="preserve">Reasonable </w:t>
      </w:r>
      <w:r w:rsidR="00BB6ABA" w:rsidRPr="001056AC">
        <w:rPr>
          <w:rFonts w:ascii="Times New Roman" w:eastAsia="+mn-ea" w:hAnsi="Times New Roman" w:cs="Times New Roman"/>
          <w:b/>
          <w:color w:val="BB1F53"/>
          <w:kern w:val="24"/>
          <w:sz w:val="24"/>
          <w:szCs w:val="24"/>
        </w:rPr>
        <w:t>accommodations</w:t>
      </w:r>
      <w:r w:rsidRPr="001056AC">
        <w:rPr>
          <w:rFonts w:ascii="Times New Roman" w:eastAsia="+mn-ea" w:hAnsi="Times New Roman" w:cs="Times New Roman"/>
          <w:b/>
          <w:color w:val="BB1F53"/>
          <w:kern w:val="24"/>
          <w:sz w:val="24"/>
          <w:szCs w:val="24"/>
        </w:rPr>
        <w:t xml:space="preserve"> for individuals with disabilities</w:t>
      </w:r>
    </w:p>
    <w:p w14:paraId="5E98D046" w14:textId="77777777" w:rsidR="001056AC" w:rsidRDefault="003B0DB5" w:rsidP="001056AC">
      <w:pPr>
        <w:pStyle w:val="Style11"/>
        <w:spacing w:before="0" w:after="0"/>
        <w:jc w:val="both"/>
        <w:rPr>
          <w:rFonts w:ascii="Times New Roman" w:eastAsia="+mn-ea" w:hAnsi="Times New Roman" w:cs="Times New Roman"/>
          <w:kern w:val="24"/>
          <w:sz w:val="24"/>
          <w:szCs w:val="24"/>
        </w:rPr>
      </w:pPr>
      <w:r w:rsidRPr="003B0DB5">
        <w:rPr>
          <w:rFonts w:ascii="Times New Roman" w:eastAsia="+mn-ea" w:hAnsi="Times New Roman" w:cs="Times New Roman"/>
          <w:kern w:val="24"/>
          <w:sz w:val="24"/>
          <w:szCs w:val="24"/>
        </w:rPr>
        <w:t>Support service funds may be utilized to assist a participant who needs workplace accommodations to enable them to participate in em</w:t>
      </w:r>
      <w:r w:rsidR="00BB6ABA">
        <w:rPr>
          <w:rFonts w:ascii="Times New Roman" w:eastAsia="+mn-ea" w:hAnsi="Times New Roman" w:cs="Times New Roman"/>
          <w:kern w:val="24"/>
          <w:sz w:val="24"/>
          <w:szCs w:val="24"/>
        </w:rPr>
        <w:t>ployment, training, education, work e</w:t>
      </w:r>
      <w:r w:rsidRPr="003B0DB5">
        <w:rPr>
          <w:rFonts w:ascii="Times New Roman" w:eastAsia="+mn-ea" w:hAnsi="Times New Roman" w:cs="Times New Roman"/>
          <w:kern w:val="24"/>
          <w:sz w:val="24"/>
          <w:szCs w:val="24"/>
        </w:rPr>
        <w:t xml:space="preserve">xperience, </w:t>
      </w:r>
      <w:r w:rsidR="00A1596E">
        <w:rPr>
          <w:rFonts w:ascii="Times New Roman" w:eastAsia="+mn-ea" w:hAnsi="Times New Roman" w:cs="Times New Roman"/>
          <w:kern w:val="24"/>
          <w:sz w:val="24"/>
          <w:szCs w:val="24"/>
        </w:rPr>
        <w:t xml:space="preserve">career center </w:t>
      </w:r>
      <w:r w:rsidRPr="003B0DB5">
        <w:rPr>
          <w:rFonts w:ascii="Times New Roman" w:eastAsia="+mn-ea" w:hAnsi="Times New Roman" w:cs="Times New Roman"/>
          <w:kern w:val="24"/>
          <w:sz w:val="24"/>
          <w:szCs w:val="24"/>
        </w:rPr>
        <w:t>services, or job searching.</w:t>
      </w:r>
      <w:r w:rsidR="00A1596E">
        <w:rPr>
          <w:rFonts w:ascii="Times New Roman" w:eastAsia="+mn-ea" w:hAnsi="Times New Roman" w:cs="Times New Roman"/>
          <w:kern w:val="24"/>
          <w:sz w:val="24"/>
          <w:szCs w:val="24"/>
        </w:rPr>
        <w:t xml:space="preserve"> </w:t>
      </w:r>
    </w:p>
    <w:p w14:paraId="277AE985" w14:textId="77777777" w:rsidR="00A1596E" w:rsidRDefault="00A1596E" w:rsidP="001056AC">
      <w:pPr>
        <w:pStyle w:val="Style11"/>
        <w:spacing w:before="0" w:after="0"/>
        <w:jc w:val="both"/>
        <w:rPr>
          <w:rFonts w:ascii="Times New Roman" w:eastAsia="+mn-ea" w:hAnsi="Times New Roman" w:cs="Times New Roman"/>
          <w:kern w:val="24"/>
          <w:sz w:val="24"/>
          <w:szCs w:val="24"/>
        </w:rPr>
      </w:pPr>
    </w:p>
    <w:p w14:paraId="315D4FDC" w14:textId="77777777" w:rsidR="00A1596E" w:rsidRPr="00C94BE7" w:rsidRDefault="00A1596E" w:rsidP="00A1596E">
      <w:pPr>
        <w:pStyle w:val="Style11"/>
        <w:spacing w:before="0" w:after="0"/>
        <w:jc w:val="both"/>
        <w:rPr>
          <w:rFonts w:ascii="Times New Roman" w:eastAsia="+mn-ea" w:hAnsi="Times New Roman" w:cs="Times New Roman"/>
          <w:kern w:val="24"/>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There is no limit on reasonable accommodations besides the </w:t>
      </w:r>
      <w:r w:rsidR="00C35E84">
        <w:rPr>
          <w:rFonts w:ascii="Times New Roman" w:eastAsia="+mn-ea" w:hAnsi="Times New Roman" w:cs="Times New Roman"/>
          <w:kern w:val="24"/>
          <w:sz w:val="24"/>
          <w:szCs w:val="24"/>
        </w:rPr>
        <w:t xml:space="preserve">lifetime </w:t>
      </w:r>
      <w:r>
        <w:rPr>
          <w:rFonts w:ascii="Times New Roman" w:eastAsia="+mn-ea" w:hAnsi="Times New Roman" w:cs="Times New Roman"/>
          <w:kern w:val="24"/>
          <w:sz w:val="24"/>
          <w:szCs w:val="24"/>
        </w:rPr>
        <w:t xml:space="preserve">supportive service cap but must be </w:t>
      </w:r>
      <w:r w:rsidRPr="00C94BE7">
        <w:rPr>
          <w:rFonts w:ascii="Times New Roman" w:hAnsi="Times New Roman" w:cs="Times New Roman"/>
          <w:sz w:val="24"/>
          <w:szCs w:val="24"/>
        </w:rPr>
        <w:t>based on individual need.</w:t>
      </w:r>
    </w:p>
    <w:p w14:paraId="63CD7BC5" w14:textId="77777777" w:rsidR="003B0DB5" w:rsidRPr="003B0DB5" w:rsidRDefault="003B0DB5" w:rsidP="001056AC">
      <w:pPr>
        <w:pStyle w:val="Style11"/>
        <w:spacing w:before="0" w:after="0"/>
        <w:jc w:val="both"/>
        <w:rPr>
          <w:rFonts w:ascii="Times New Roman" w:eastAsia="+mn-ea" w:hAnsi="Times New Roman" w:cs="Times New Roman"/>
          <w:kern w:val="24"/>
          <w:sz w:val="24"/>
          <w:szCs w:val="24"/>
        </w:rPr>
      </w:pPr>
    </w:p>
    <w:p w14:paraId="5D120E08" w14:textId="77777777" w:rsidR="001056AC"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Legal aid services</w:t>
      </w:r>
    </w:p>
    <w:p w14:paraId="18B11E1A" w14:textId="77777777" w:rsidR="00182598" w:rsidRDefault="00182598" w:rsidP="00182598">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Assistance in providing linkages, referrals, and accurate information about the availability of legal aid services in Nebraska.</w:t>
      </w:r>
      <w:r w:rsidR="00A1596E">
        <w:rPr>
          <w:rFonts w:ascii="Times New Roman" w:eastAsia="+mn-ea" w:hAnsi="Times New Roman" w:cs="Times New Roman"/>
          <w:kern w:val="24"/>
          <w:sz w:val="24"/>
          <w:szCs w:val="24"/>
        </w:rPr>
        <w:t xml:space="preserve"> This is a non-funded service. </w:t>
      </w:r>
    </w:p>
    <w:p w14:paraId="5DDC9313" w14:textId="77777777" w:rsidR="00182598" w:rsidRPr="00182598" w:rsidRDefault="00182598" w:rsidP="00182598">
      <w:pPr>
        <w:pStyle w:val="Style11"/>
        <w:spacing w:before="0" w:after="0"/>
        <w:jc w:val="both"/>
        <w:rPr>
          <w:rFonts w:ascii="Times New Roman" w:eastAsia="+mn-ea" w:hAnsi="Times New Roman" w:cs="Times New Roman"/>
          <w:kern w:val="24"/>
          <w:sz w:val="24"/>
          <w:szCs w:val="24"/>
        </w:rPr>
      </w:pPr>
    </w:p>
    <w:p w14:paraId="7203329D" w14:textId="77777777" w:rsidR="00B57FD7"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Referrals to health care</w:t>
      </w:r>
    </w:p>
    <w:p w14:paraId="7FB9B4C1" w14:textId="194ECFEC" w:rsidR="004761E2" w:rsidRDefault="004761E2" w:rsidP="004761E2">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 xml:space="preserve">Supportive service funds may be utilized to assist a participant with the cost of medical or counseling services. </w:t>
      </w:r>
      <w:r w:rsidRPr="008606DF">
        <w:rPr>
          <w:rFonts w:ascii="Times New Roman" w:eastAsia="+mn-ea" w:hAnsi="Times New Roman" w:cs="Times New Roman"/>
          <w:kern w:val="24"/>
          <w:sz w:val="24"/>
          <w:szCs w:val="24"/>
        </w:rPr>
        <w:t xml:space="preserve">Examples include but are not limited to DOT physicals, drug screens, required immunizations, </w:t>
      </w:r>
      <w:r w:rsidR="002470A1">
        <w:rPr>
          <w:rFonts w:ascii="Times New Roman" w:eastAsia="+mn-ea" w:hAnsi="Times New Roman" w:cs="Times New Roman"/>
          <w:kern w:val="24"/>
          <w:sz w:val="24"/>
          <w:szCs w:val="24"/>
        </w:rPr>
        <w:t xml:space="preserve">eyeglasses, etc. </w:t>
      </w:r>
    </w:p>
    <w:p w14:paraId="12585CE8" w14:textId="77777777" w:rsidR="004761E2" w:rsidRDefault="004761E2" w:rsidP="004761E2">
      <w:pPr>
        <w:pStyle w:val="Style11"/>
        <w:spacing w:before="0" w:after="0"/>
        <w:ind w:left="720"/>
        <w:jc w:val="both"/>
        <w:rPr>
          <w:rFonts w:ascii="Times New Roman" w:eastAsia="+mn-ea" w:hAnsi="Times New Roman" w:cs="Times New Roman"/>
          <w:kern w:val="24"/>
          <w:sz w:val="24"/>
          <w:szCs w:val="24"/>
        </w:rPr>
      </w:pPr>
    </w:p>
    <w:p w14:paraId="62F0EF72" w14:textId="2ABC3673" w:rsidR="004761E2" w:rsidRDefault="004761E2" w:rsidP="004761E2">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Health care costs are limited to immediate or emergency need</w:t>
      </w:r>
      <w:r w:rsidR="002470A1">
        <w:rPr>
          <w:rFonts w:ascii="Times New Roman" w:eastAsia="+mn-ea" w:hAnsi="Times New Roman" w:cs="Times New Roman"/>
          <w:kern w:val="24"/>
          <w:sz w:val="24"/>
          <w:szCs w:val="24"/>
        </w:rPr>
        <w:t>s</w:t>
      </w:r>
      <w:r>
        <w:rPr>
          <w:rFonts w:ascii="Times New Roman" w:eastAsia="+mn-ea" w:hAnsi="Times New Roman" w:cs="Times New Roman"/>
          <w:kern w:val="24"/>
          <w:sz w:val="24"/>
          <w:szCs w:val="24"/>
        </w:rPr>
        <w:t xml:space="preserve">. Routine doctor visit costs are not allowed. </w:t>
      </w:r>
    </w:p>
    <w:p w14:paraId="501EC6F9" w14:textId="77777777" w:rsidR="004761E2" w:rsidRDefault="004761E2" w:rsidP="004761E2">
      <w:pPr>
        <w:pStyle w:val="Style11"/>
        <w:spacing w:before="0" w:after="0"/>
        <w:ind w:left="720"/>
        <w:jc w:val="both"/>
        <w:rPr>
          <w:rFonts w:ascii="Times New Roman" w:eastAsia="+mn-ea" w:hAnsi="Times New Roman" w:cs="Times New Roman"/>
          <w:kern w:val="24"/>
          <w:sz w:val="24"/>
          <w:szCs w:val="24"/>
        </w:rPr>
      </w:pPr>
    </w:p>
    <w:p w14:paraId="47C42123" w14:textId="3C97E0C5" w:rsidR="004761E2" w:rsidRDefault="002470A1" w:rsidP="004761E2">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Eyeglasses costs</w:t>
      </w:r>
      <w:r w:rsidR="004761E2">
        <w:rPr>
          <w:rFonts w:ascii="Times New Roman" w:eastAsia="+mn-ea" w:hAnsi="Times New Roman" w:cs="Times New Roman"/>
          <w:kern w:val="24"/>
          <w:sz w:val="24"/>
          <w:szCs w:val="24"/>
        </w:rPr>
        <w:t xml:space="preserve"> require administrative approval.</w:t>
      </w:r>
    </w:p>
    <w:p w14:paraId="4A381E05" w14:textId="77777777" w:rsidR="004761E2" w:rsidRDefault="004761E2" w:rsidP="004761E2">
      <w:pPr>
        <w:pStyle w:val="Style11"/>
        <w:spacing w:before="0" w:after="0"/>
        <w:ind w:left="720"/>
        <w:jc w:val="both"/>
        <w:rPr>
          <w:rFonts w:ascii="Times New Roman" w:eastAsia="+mn-ea" w:hAnsi="Times New Roman" w:cs="Times New Roman"/>
          <w:kern w:val="24"/>
          <w:sz w:val="24"/>
          <w:szCs w:val="24"/>
        </w:rPr>
      </w:pPr>
    </w:p>
    <w:p w14:paraId="65E48BA4" w14:textId="77777777" w:rsidR="004761E2" w:rsidRDefault="004761E2" w:rsidP="004761E2">
      <w:pPr>
        <w:pStyle w:val="Style11"/>
        <w:spacing w:before="0" w:after="0"/>
        <w:jc w:val="both"/>
        <w:rPr>
          <w:rFonts w:ascii="Times New Roman" w:hAnsi="Times New Roman" w:cs="Times New Roman"/>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Health care limit per participant is $800. </w:t>
      </w:r>
      <w:r w:rsidRPr="00C94BE7">
        <w:rPr>
          <w:rFonts w:ascii="Times New Roman" w:hAnsi="Times New Roman" w:cs="Times New Roman"/>
          <w:sz w:val="24"/>
          <w:szCs w:val="24"/>
        </w:rPr>
        <w:t>This is not a minimum or flat funded amount, rather the amount of support</w:t>
      </w:r>
      <w:r>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0BCE0D04" w14:textId="77777777" w:rsidR="004761E2" w:rsidRPr="00C94BE7" w:rsidRDefault="004761E2" w:rsidP="004761E2">
      <w:pPr>
        <w:pStyle w:val="Style11"/>
        <w:spacing w:before="0" w:after="0"/>
        <w:ind w:left="720"/>
        <w:jc w:val="both"/>
        <w:rPr>
          <w:rFonts w:ascii="Times New Roman" w:eastAsia="+mn-ea" w:hAnsi="Times New Roman" w:cs="Times New Roman"/>
          <w:kern w:val="24"/>
          <w:sz w:val="24"/>
          <w:szCs w:val="24"/>
        </w:rPr>
      </w:pPr>
    </w:p>
    <w:p w14:paraId="7AD5FE48" w14:textId="77777777" w:rsidR="00B57FD7"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Assistance with uniforms or other appropriate work attire and work-rela</w:t>
      </w:r>
      <w:r w:rsidR="00C35E84">
        <w:rPr>
          <w:rFonts w:ascii="Times New Roman" w:eastAsia="+mn-ea" w:hAnsi="Times New Roman" w:cs="Times New Roman"/>
          <w:b/>
          <w:color w:val="BB1F53"/>
          <w:kern w:val="24"/>
          <w:sz w:val="24"/>
          <w:szCs w:val="24"/>
        </w:rPr>
        <w:t>ted tools</w:t>
      </w:r>
    </w:p>
    <w:p w14:paraId="7E891A52" w14:textId="77777777" w:rsidR="001056AC" w:rsidRDefault="00BC424B"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Support</w:t>
      </w:r>
      <w:r w:rsidR="008606DF">
        <w:rPr>
          <w:rFonts w:ascii="Times New Roman" w:eastAsia="+mn-ea" w:hAnsi="Times New Roman" w:cs="Times New Roman"/>
          <w:kern w:val="24"/>
          <w:sz w:val="24"/>
          <w:szCs w:val="24"/>
        </w:rPr>
        <w:t>ive</w:t>
      </w:r>
      <w:r>
        <w:rPr>
          <w:rFonts w:ascii="Times New Roman" w:eastAsia="+mn-ea" w:hAnsi="Times New Roman" w:cs="Times New Roman"/>
          <w:kern w:val="24"/>
          <w:sz w:val="24"/>
          <w:szCs w:val="24"/>
        </w:rPr>
        <w:t xml:space="preserve"> service funds may be utilized to assist a participant in proper attire and work-related tools for obtaining or maintain employment and/ or training.  Examples include but are not limited to scrubs, tools, boots, </w:t>
      </w:r>
      <w:r w:rsidR="00BB6ABA">
        <w:rPr>
          <w:rFonts w:ascii="Times New Roman" w:eastAsia="+mn-ea" w:hAnsi="Times New Roman" w:cs="Times New Roman"/>
          <w:kern w:val="24"/>
          <w:sz w:val="24"/>
          <w:szCs w:val="24"/>
        </w:rPr>
        <w:t>etc.</w:t>
      </w:r>
    </w:p>
    <w:p w14:paraId="6CC3B9E4" w14:textId="77777777" w:rsidR="00A1596E" w:rsidRDefault="00A1596E" w:rsidP="001056AC">
      <w:pPr>
        <w:pStyle w:val="Style11"/>
        <w:spacing w:before="0" w:after="0"/>
        <w:jc w:val="both"/>
        <w:rPr>
          <w:rFonts w:ascii="Times New Roman" w:eastAsia="+mn-ea" w:hAnsi="Times New Roman" w:cs="Times New Roman"/>
          <w:kern w:val="24"/>
          <w:sz w:val="24"/>
          <w:szCs w:val="24"/>
        </w:rPr>
      </w:pPr>
    </w:p>
    <w:p w14:paraId="2BBF54A5" w14:textId="77777777" w:rsidR="00A1596E" w:rsidRPr="00C94BE7" w:rsidRDefault="00A1596E" w:rsidP="00A1596E">
      <w:pPr>
        <w:pStyle w:val="Style11"/>
        <w:spacing w:before="0" w:after="0"/>
        <w:jc w:val="both"/>
        <w:rPr>
          <w:rFonts w:ascii="Times New Roman" w:eastAsia="+mn-ea" w:hAnsi="Times New Roman" w:cs="Times New Roman"/>
          <w:kern w:val="24"/>
          <w:sz w:val="24"/>
          <w:szCs w:val="24"/>
        </w:rPr>
      </w:pPr>
      <w:r w:rsidRPr="00C35E84">
        <w:rPr>
          <w:rFonts w:ascii="Times New Roman" w:eastAsia="+mn-ea" w:hAnsi="Times New Roman" w:cs="Times New Roman"/>
          <w:b/>
          <w:kern w:val="24"/>
          <w:sz w:val="24"/>
          <w:szCs w:val="24"/>
        </w:rPr>
        <w:t>Maximum limit:</w:t>
      </w:r>
      <w:r w:rsidRPr="00C35E84">
        <w:rPr>
          <w:rFonts w:ascii="Times New Roman" w:eastAsia="+mn-ea" w:hAnsi="Times New Roman" w:cs="Times New Roman"/>
          <w:kern w:val="24"/>
          <w:sz w:val="24"/>
          <w:szCs w:val="24"/>
        </w:rPr>
        <w:t xml:space="preserve"> </w:t>
      </w:r>
      <w:r w:rsidR="00E7364D" w:rsidRPr="00C35E84">
        <w:rPr>
          <w:rFonts w:ascii="Times New Roman" w:eastAsia="+mn-ea" w:hAnsi="Times New Roman" w:cs="Times New Roman"/>
          <w:kern w:val="24"/>
          <w:sz w:val="24"/>
          <w:szCs w:val="24"/>
        </w:rPr>
        <w:t>Work attire</w:t>
      </w:r>
      <w:r w:rsidR="00C35E84">
        <w:rPr>
          <w:rFonts w:ascii="Times New Roman" w:eastAsia="+mn-ea" w:hAnsi="Times New Roman" w:cs="Times New Roman"/>
          <w:kern w:val="24"/>
          <w:sz w:val="24"/>
          <w:szCs w:val="24"/>
        </w:rPr>
        <w:t xml:space="preserve"> and work-related tools</w:t>
      </w:r>
      <w:r>
        <w:rPr>
          <w:rFonts w:ascii="Times New Roman" w:eastAsia="+mn-ea" w:hAnsi="Times New Roman" w:cs="Times New Roman"/>
          <w:kern w:val="24"/>
          <w:sz w:val="24"/>
          <w:szCs w:val="24"/>
        </w:rPr>
        <w:t xml:space="preserve"> limit per participant is $2000. </w:t>
      </w:r>
      <w:r w:rsidRPr="00C94BE7">
        <w:rPr>
          <w:rFonts w:ascii="Times New Roman" w:hAnsi="Times New Roman" w:cs="Times New Roman"/>
          <w:sz w:val="24"/>
          <w:szCs w:val="24"/>
        </w:rPr>
        <w:t>This is not a minimum or flat funded amount, rather the amount of support</w:t>
      </w:r>
      <w:r w:rsidR="00FA6646">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661EF84F" w14:textId="77777777" w:rsidR="00A1596E" w:rsidRDefault="00A1596E" w:rsidP="001056AC">
      <w:pPr>
        <w:pStyle w:val="Style11"/>
        <w:spacing w:before="0" w:after="0"/>
        <w:jc w:val="both"/>
        <w:rPr>
          <w:rFonts w:ascii="Times New Roman" w:eastAsia="+mn-ea" w:hAnsi="Times New Roman" w:cs="Times New Roman"/>
          <w:kern w:val="24"/>
          <w:sz w:val="24"/>
          <w:szCs w:val="24"/>
        </w:rPr>
      </w:pPr>
    </w:p>
    <w:p w14:paraId="4D28DBA5" w14:textId="77777777" w:rsidR="00B57FD7" w:rsidRDefault="00B57FD7"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sidRPr="001056AC">
        <w:rPr>
          <w:rFonts w:ascii="Times New Roman" w:eastAsia="+mn-ea" w:hAnsi="Times New Roman" w:cs="Times New Roman"/>
          <w:b/>
          <w:color w:val="BB1F53"/>
          <w:kern w:val="24"/>
          <w:sz w:val="24"/>
          <w:szCs w:val="24"/>
        </w:rPr>
        <w:t>Assistance with books, fees, school supplies, and other necessary items for students enrolled in postsecondary education classes</w:t>
      </w:r>
    </w:p>
    <w:p w14:paraId="337F26D4" w14:textId="2DDC0483" w:rsidR="001056AC" w:rsidRDefault="003B3F46"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Support</w:t>
      </w:r>
      <w:r w:rsidR="00C35E84">
        <w:rPr>
          <w:rFonts w:ascii="Times New Roman" w:eastAsia="+mn-ea" w:hAnsi="Times New Roman" w:cs="Times New Roman"/>
          <w:kern w:val="24"/>
          <w:sz w:val="24"/>
          <w:szCs w:val="24"/>
        </w:rPr>
        <w:t>ive</w:t>
      </w:r>
      <w:r>
        <w:rPr>
          <w:rFonts w:ascii="Times New Roman" w:eastAsia="+mn-ea" w:hAnsi="Times New Roman" w:cs="Times New Roman"/>
          <w:kern w:val="24"/>
          <w:sz w:val="24"/>
          <w:szCs w:val="24"/>
        </w:rPr>
        <w:t xml:space="preserve"> service funds may be utilized to assist a participant attending a WIOA approved</w:t>
      </w:r>
      <w:r w:rsidR="0000133C">
        <w:rPr>
          <w:rFonts w:ascii="Times New Roman" w:eastAsia="+mn-ea" w:hAnsi="Times New Roman" w:cs="Times New Roman"/>
          <w:kern w:val="24"/>
          <w:sz w:val="24"/>
          <w:szCs w:val="24"/>
        </w:rPr>
        <w:t xml:space="preserve"> postsecondary education program</w:t>
      </w:r>
      <w:r>
        <w:rPr>
          <w:rFonts w:ascii="Times New Roman" w:eastAsia="+mn-ea" w:hAnsi="Times New Roman" w:cs="Times New Roman"/>
          <w:kern w:val="24"/>
          <w:sz w:val="24"/>
          <w:szCs w:val="24"/>
        </w:rPr>
        <w:t xml:space="preserve"> with books</w:t>
      </w:r>
      <w:r w:rsidRPr="00C35E84">
        <w:rPr>
          <w:rFonts w:ascii="Times New Roman" w:eastAsia="+mn-ea" w:hAnsi="Times New Roman" w:cs="Times New Roman"/>
          <w:kern w:val="24"/>
          <w:sz w:val="24"/>
          <w:szCs w:val="24"/>
        </w:rPr>
        <w:t>, fees</w:t>
      </w:r>
      <w:r w:rsidR="00A1596E" w:rsidRPr="00C35E84">
        <w:rPr>
          <w:rFonts w:ascii="Times New Roman" w:eastAsia="+mn-ea" w:hAnsi="Times New Roman" w:cs="Times New Roman"/>
          <w:kern w:val="24"/>
          <w:sz w:val="24"/>
          <w:szCs w:val="24"/>
        </w:rPr>
        <w:t xml:space="preserve"> (non-education)</w:t>
      </w:r>
      <w:r w:rsidR="00505BA9">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 xml:space="preserve">and other necessary items related to their education. Examples include but are </w:t>
      </w:r>
      <w:r w:rsidR="00C46831">
        <w:rPr>
          <w:rFonts w:ascii="Times New Roman" w:eastAsia="+mn-ea" w:hAnsi="Times New Roman" w:cs="Times New Roman"/>
          <w:kern w:val="24"/>
          <w:sz w:val="24"/>
          <w:szCs w:val="24"/>
        </w:rPr>
        <w:t xml:space="preserve">not limited to </w:t>
      </w:r>
      <w:r w:rsidR="00E7364D">
        <w:rPr>
          <w:rFonts w:ascii="Times New Roman" w:eastAsia="+mn-ea" w:hAnsi="Times New Roman" w:cs="Times New Roman"/>
          <w:kern w:val="24"/>
          <w:sz w:val="24"/>
          <w:szCs w:val="24"/>
        </w:rPr>
        <w:t>required books,</w:t>
      </w:r>
      <w:r w:rsidR="00C35E84">
        <w:rPr>
          <w:rFonts w:ascii="Times New Roman" w:eastAsia="+mn-ea" w:hAnsi="Times New Roman" w:cs="Times New Roman"/>
          <w:kern w:val="24"/>
          <w:sz w:val="24"/>
          <w:szCs w:val="24"/>
        </w:rPr>
        <w:t xml:space="preserve"> campus parking permits,</w:t>
      </w:r>
      <w:r w:rsidR="00E7364D">
        <w:rPr>
          <w:rFonts w:ascii="Times New Roman" w:eastAsia="+mn-ea" w:hAnsi="Times New Roman" w:cs="Times New Roman"/>
          <w:kern w:val="24"/>
          <w:sz w:val="24"/>
          <w:szCs w:val="24"/>
        </w:rPr>
        <w:t xml:space="preserve"> computer software</w:t>
      </w:r>
      <w:r w:rsidR="0000133C">
        <w:rPr>
          <w:rFonts w:ascii="Times New Roman" w:eastAsia="+mn-ea" w:hAnsi="Times New Roman" w:cs="Times New Roman"/>
          <w:kern w:val="24"/>
          <w:sz w:val="24"/>
          <w:szCs w:val="24"/>
        </w:rPr>
        <w:t xml:space="preserve"> (Adobe, </w:t>
      </w:r>
      <w:r w:rsidR="00A1596E">
        <w:rPr>
          <w:rFonts w:ascii="Times New Roman" w:eastAsia="+mn-ea" w:hAnsi="Times New Roman" w:cs="Times New Roman"/>
          <w:kern w:val="24"/>
          <w:sz w:val="24"/>
          <w:szCs w:val="24"/>
        </w:rPr>
        <w:t>Microsoft Office</w:t>
      </w:r>
      <w:r w:rsidR="0000133C">
        <w:rPr>
          <w:rFonts w:ascii="Times New Roman" w:eastAsia="+mn-ea" w:hAnsi="Times New Roman" w:cs="Times New Roman"/>
          <w:kern w:val="24"/>
          <w:sz w:val="24"/>
          <w:szCs w:val="24"/>
        </w:rPr>
        <w:t>)</w:t>
      </w:r>
      <w:r w:rsidR="00505BA9">
        <w:rPr>
          <w:rFonts w:ascii="Times New Roman" w:eastAsia="+mn-ea" w:hAnsi="Times New Roman" w:cs="Times New Roman"/>
          <w:kern w:val="24"/>
          <w:sz w:val="24"/>
          <w:szCs w:val="24"/>
        </w:rPr>
        <w:t>,</w:t>
      </w:r>
      <w:r>
        <w:rPr>
          <w:rFonts w:ascii="Times New Roman" w:eastAsia="+mn-ea" w:hAnsi="Times New Roman" w:cs="Times New Roman"/>
          <w:kern w:val="24"/>
          <w:sz w:val="24"/>
          <w:szCs w:val="24"/>
        </w:rPr>
        <w:t xml:space="preserve"> etc. </w:t>
      </w:r>
    </w:p>
    <w:p w14:paraId="6CA5DA26" w14:textId="436B5382" w:rsidR="00505BA9" w:rsidRDefault="00505BA9" w:rsidP="001056AC">
      <w:pPr>
        <w:pStyle w:val="Style11"/>
        <w:spacing w:before="0" w:after="0"/>
        <w:jc w:val="both"/>
        <w:rPr>
          <w:rFonts w:ascii="Times New Roman" w:eastAsia="+mn-ea" w:hAnsi="Times New Roman" w:cs="Times New Roman"/>
          <w:kern w:val="24"/>
          <w:sz w:val="24"/>
          <w:szCs w:val="24"/>
        </w:rPr>
      </w:pPr>
    </w:p>
    <w:p w14:paraId="076F86A2" w14:textId="5DD508DD" w:rsidR="00505BA9" w:rsidRDefault="00505BA9"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Schools supplies are not allowed.  These include flash drive, pens, notebooks, etc.</w:t>
      </w:r>
    </w:p>
    <w:p w14:paraId="30015D59" w14:textId="77777777" w:rsidR="00C35E84" w:rsidRDefault="00C35E84" w:rsidP="001056AC">
      <w:pPr>
        <w:pStyle w:val="Style11"/>
        <w:spacing w:before="0" w:after="0"/>
        <w:jc w:val="both"/>
        <w:rPr>
          <w:rFonts w:ascii="Times New Roman" w:eastAsia="+mn-ea" w:hAnsi="Times New Roman" w:cs="Times New Roman"/>
          <w:kern w:val="24"/>
          <w:sz w:val="24"/>
          <w:szCs w:val="24"/>
        </w:rPr>
      </w:pPr>
    </w:p>
    <w:p w14:paraId="3F66DA00" w14:textId="77777777" w:rsidR="00C35E84" w:rsidRDefault="00C35E84" w:rsidP="001056AC">
      <w:pPr>
        <w:pStyle w:val="Style11"/>
        <w:spacing w:before="0" w:after="0"/>
        <w:jc w:val="both"/>
        <w:rPr>
          <w:rFonts w:ascii="Times New Roman" w:eastAsia="+mn-ea" w:hAnsi="Times New Roman" w:cs="Times New Roman"/>
          <w:kern w:val="24"/>
          <w:sz w:val="24"/>
          <w:szCs w:val="24"/>
        </w:rPr>
      </w:pPr>
      <w:r>
        <w:rPr>
          <w:rFonts w:ascii="Times New Roman" w:eastAsia="+mn-ea" w:hAnsi="Times New Roman" w:cs="Times New Roman"/>
          <w:kern w:val="24"/>
          <w:sz w:val="24"/>
          <w:szCs w:val="24"/>
        </w:rPr>
        <w:t>Computers may be purchased if it is determined that a personal computer is necessary to participate and complete an approved training program and the participant has no other reasonably available sources for computer access. Computer purchase approvals will be made on a case-by-case basis by the Administ</w:t>
      </w:r>
      <w:r w:rsidR="006E6722">
        <w:rPr>
          <w:rFonts w:ascii="Times New Roman" w:eastAsia="+mn-ea" w:hAnsi="Times New Roman" w:cs="Times New Roman"/>
          <w:kern w:val="24"/>
          <w:sz w:val="24"/>
          <w:szCs w:val="24"/>
        </w:rPr>
        <w:t>rative Entity</w:t>
      </w:r>
      <w:r>
        <w:rPr>
          <w:rFonts w:ascii="Times New Roman" w:eastAsia="+mn-ea" w:hAnsi="Times New Roman" w:cs="Times New Roman"/>
          <w:kern w:val="24"/>
          <w:sz w:val="24"/>
          <w:szCs w:val="24"/>
        </w:rPr>
        <w:t>.</w:t>
      </w:r>
      <w:r w:rsidR="006E6722">
        <w:rPr>
          <w:rFonts w:ascii="Times New Roman" w:eastAsia="+mn-ea" w:hAnsi="Times New Roman" w:cs="Times New Roman"/>
          <w:kern w:val="24"/>
          <w:sz w:val="24"/>
          <w:szCs w:val="24"/>
        </w:rPr>
        <w:t xml:space="preserve"> </w:t>
      </w:r>
      <w:r>
        <w:rPr>
          <w:rFonts w:ascii="Times New Roman" w:eastAsia="+mn-ea" w:hAnsi="Times New Roman" w:cs="Times New Roman"/>
          <w:kern w:val="24"/>
          <w:sz w:val="24"/>
          <w:szCs w:val="24"/>
        </w:rPr>
        <w:t xml:space="preserve"> </w:t>
      </w:r>
    </w:p>
    <w:p w14:paraId="67C61474" w14:textId="77777777" w:rsidR="00A1596E" w:rsidRDefault="00A1596E" w:rsidP="001056AC">
      <w:pPr>
        <w:pStyle w:val="Style11"/>
        <w:spacing w:before="0" w:after="0"/>
        <w:jc w:val="both"/>
        <w:rPr>
          <w:rFonts w:ascii="Times New Roman" w:eastAsia="+mn-ea" w:hAnsi="Times New Roman" w:cs="Times New Roman"/>
          <w:kern w:val="24"/>
          <w:sz w:val="24"/>
          <w:szCs w:val="24"/>
        </w:rPr>
      </w:pPr>
    </w:p>
    <w:p w14:paraId="350B99E8" w14:textId="11DA0638" w:rsidR="00A1596E" w:rsidRPr="00C94BE7" w:rsidRDefault="00A1596E" w:rsidP="00A1596E">
      <w:pPr>
        <w:pStyle w:val="Style11"/>
        <w:spacing w:before="0" w:after="0"/>
        <w:jc w:val="both"/>
        <w:rPr>
          <w:rFonts w:ascii="Times New Roman" w:eastAsia="+mn-ea" w:hAnsi="Times New Roman" w:cs="Times New Roman"/>
          <w:kern w:val="24"/>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w:t>
      </w:r>
      <w:r w:rsidR="00E7364D" w:rsidRPr="00EF32F0">
        <w:rPr>
          <w:rFonts w:ascii="Times New Roman" w:eastAsia="+mn-ea" w:hAnsi="Times New Roman" w:cs="Times New Roman"/>
          <w:kern w:val="24"/>
          <w:sz w:val="24"/>
          <w:szCs w:val="24"/>
        </w:rPr>
        <w:t>There is no</w:t>
      </w:r>
      <w:r w:rsidR="00FA6646" w:rsidRPr="00EF32F0">
        <w:rPr>
          <w:rFonts w:ascii="Times New Roman" w:eastAsia="+mn-ea" w:hAnsi="Times New Roman" w:cs="Times New Roman"/>
          <w:kern w:val="24"/>
          <w:sz w:val="24"/>
          <w:szCs w:val="24"/>
        </w:rPr>
        <w:t xml:space="preserve"> other</w:t>
      </w:r>
      <w:r w:rsidR="00E7364D" w:rsidRPr="00EF32F0">
        <w:rPr>
          <w:rFonts w:ascii="Times New Roman" w:eastAsia="+mn-ea" w:hAnsi="Times New Roman" w:cs="Times New Roman"/>
          <w:kern w:val="24"/>
          <w:sz w:val="24"/>
          <w:szCs w:val="24"/>
        </w:rPr>
        <w:t xml:space="preserve"> limit on books and supplies besides the </w:t>
      </w:r>
      <w:r w:rsidR="00C35E84" w:rsidRPr="00EF32F0">
        <w:rPr>
          <w:rFonts w:ascii="Times New Roman" w:eastAsia="+mn-ea" w:hAnsi="Times New Roman" w:cs="Times New Roman"/>
          <w:kern w:val="24"/>
          <w:sz w:val="24"/>
          <w:szCs w:val="24"/>
        </w:rPr>
        <w:t xml:space="preserve">lifetime </w:t>
      </w:r>
      <w:r w:rsidR="00E7364D" w:rsidRPr="00EF32F0">
        <w:rPr>
          <w:rFonts w:ascii="Times New Roman" w:eastAsia="+mn-ea" w:hAnsi="Times New Roman" w:cs="Times New Roman"/>
          <w:kern w:val="24"/>
          <w:sz w:val="24"/>
          <w:szCs w:val="24"/>
        </w:rPr>
        <w:t>sup</w:t>
      </w:r>
      <w:r w:rsidR="00C35E84" w:rsidRPr="00EF32F0">
        <w:rPr>
          <w:rFonts w:ascii="Times New Roman" w:eastAsia="+mn-ea" w:hAnsi="Times New Roman" w:cs="Times New Roman"/>
          <w:kern w:val="24"/>
          <w:sz w:val="24"/>
          <w:szCs w:val="24"/>
        </w:rPr>
        <w:t xml:space="preserve">portive service cap and </w:t>
      </w:r>
      <w:r w:rsidR="00FA6646" w:rsidRPr="00EF32F0">
        <w:rPr>
          <w:rFonts w:ascii="Times New Roman" w:eastAsia="+mn-ea" w:hAnsi="Times New Roman" w:cs="Times New Roman"/>
          <w:kern w:val="24"/>
          <w:sz w:val="24"/>
          <w:szCs w:val="24"/>
        </w:rPr>
        <w:t>must be</w:t>
      </w:r>
      <w:r w:rsidR="00C35E84" w:rsidRPr="00EF32F0">
        <w:rPr>
          <w:rFonts w:ascii="Times New Roman" w:eastAsia="+mn-ea" w:hAnsi="Times New Roman" w:cs="Times New Roman"/>
          <w:kern w:val="24"/>
          <w:sz w:val="24"/>
          <w:szCs w:val="24"/>
        </w:rPr>
        <w:t xml:space="preserve"> based </w:t>
      </w:r>
      <w:r w:rsidR="00E7364D" w:rsidRPr="00C94BE7">
        <w:rPr>
          <w:rFonts w:ascii="Times New Roman" w:hAnsi="Times New Roman" w:cs="Times New Roman"/>
          <w:sz w:val="24"/>
          <w:szCs w:val="24"/>
        </w:rPr>
        <w:t>on individual need.</w:t>
      </w:r>
      <w:r w:rsidR="00E7364D">
        <w:rPr>
          <w:rFonts w:ascii="Times New Roman" w:hAnsi="Times New Roman" w:cs="Times New Roman"/>
          <w:sz w:val="24"/>
          <w:szCs w:val="24"/>
        </w:rPr>
        <w:t xml:space="preserve"> </w:t>
      </w:r>
    </w:p>
    <w:p w14:paraId="191C251D" w14:textId="77777777" w:rsidR="00A1596E" w:rsidRDefault="00A1596E" w:rsidP="001056AC">
      <w:pPr>
        <w:pStyle w:val="Style11"/>
        <w:spacing w:before="0" w:after="0"/>
        <w:jc w:val="both"/>
        <w:rPr>
          <w:rFonts w:ascii="Times New Roman" w:eastAsia="+mn-ea" w:hAnsi="Times New Roman" w:cs="Times New Roman"/>
          <w:kern w:val="24"/>
          <w:sz w:val="24"/>
          <w:szCs w:val="24"/>
        </w:rPr>
      </w:pPr>
    </w:p>
    <w:p w14:paraId="67C8761E" w14:textId="77777777" w:rsidR="00DF347A" w:rsidRDefault="00DF347A" w:rsidP="00CD5C86">
      <w:pPr>
        <w:pStyle w:val="Style11"/>
        <w:numPr>
          <w:ilvl w:val="0"/>
          <w:numId w:val="42"/>
        </w:numPr>
        <w:spacing w:before="0" w:after="0"/>
        <w:jc w:val="both"/>
        <w:rPr>
          <w:rFonts w:ascii="Times New Roman" w:eastAsia="+mn-ea" w:hAnsi="Times New Roman" w:cs="Times New Roman"/>
          <w:b/>
          <w:color w:val="BB1F53"/>
          <w:kern w:val="24"/>
          <w:sz w:val="24"/>
          <w:szCs w:val="24"/>
        </w:rPr>
      </w:pPr>
      <w:r>
        <w:rPr>
          <w:rFonts w:ascii="Times New Roman" w:eastAsia="+mn-ea" w:hAnsi="Times New Roman" w:cs="Times New Roman"/>
          <w:b/>
          <w:color w:val="BB1F53"/>
          <w:kern w:val="24"/>
          <w:sz w:val="24"/>
          <w:szCs w:val="24"/>
        </w:rPr>
        <w:t>Needs-Related Payments</w:t>
      </w:r>
    </w:p>
    <w:p w14:paraId="106839AA" w14:textId="77777777" w:rsidR="00453D9C" w:rsidRDefault="00453D9C" w:rsidP="00453D9C">
      <w:pPr>
        <w:pStyle w:val="Default"/>
        <w:rPr>
          <w:rFonts w:ascii="Times New Roman" w:hAnsi="Times New Roman" w:cs="Times New Roman"/>
        </w:rPr>
      </w:pPr>
      <w:r w:rsidRPr="00B64B48">
        <w:rPr>
          <w:rFonts w:ascii="Times New Roman" w:hAnsi="Times New Roman" w:cs="Times New Roman"/>
        </w:rPr>
        <w:t>Needs-related payments provide financial assistance to participants for the purpose of enabling them to partici</w:t>
      </w:r>
      <w:r w:rsidR="00BB6ABA">
        <w:rPr>
          <w:rFonts w:ascii="Times New Roman" w:hAnsi="Times New Roman" w:cs="Times New Roman"/>
        </w:rPr>
        <w:t>pate in training</w:t>
      </w:r>
      <w:r w:rsidRPr="00B64B48">
        <w:rPr>
          <w:rFonts w:ascii="Times New Roman" w:hAnsi="Times New Roman" w:cs="Times New Roman"/>
        </w:rPr>
        <w:t>. Unlike other supportive services, in order to qualify for needs rel</w:t>
      </w:r>
      <w:r w:rsidR="00BB6ABA">
        <w:rPr>
          <w:rFonts w:ascii="Times New Roman" w:hAnsi="Times New Roman" w:cs="Times New Roman"/>
        </w:rPr>
        <w:t>ated payments a participant MUST</w:t>
      </w:r>
      <w:r w:rsidRPr="00B64B48">
        <w:rPr>
          <w:rFonts w:ascii="Times New Roman" w:hAnsi="Times New Roman" w:cs="Times New Roman"/>
        </w:rPr>
        <w:t xml:space="preserve"> be enrolled in training.</w:t>
      </w:r>
    </w:p>
    <w:p w14:paraId="0978DD4B" w14:textId="77777777" w:rsidR="00453D9C" w:rsidRDefault="00453D9C" w:rsidP="00453D9C">
      <w:pPr>
        <w:pStyle w:val="Default"/>
        <w:rPr>
          <w:rFonts w:ascii="Times New Roman" w:hAnsi="Times New Roman" w:cs="Times New Roman"/>
        </w:rPr>
      </w:pPr>
    </w:p>
    <w:p w14:paraId="7CCE3200" w14:textId="77777777" w:rsidR="00453D9C" w:rsidRPr="00090C74" w:rsidRDefault="00453D9C" w:rsidP="00090C74">
      <w:pPr>
        <w:pStyle w:val="Default"/>
        <w:rPr>
          <w:rFonts w:ascii="Times New Roman" w:hAnsi="Times New Roman" w:cs="Times New Roman"/>
          <w:b/>
        </w:rPr>
      </w:pPr>
      <w:r w:rsidRPr="00986E39">
        <w:rPr>
          <w:rFonts w:ascii="Times New Roman" w:hAnsi="Times New Roman" w:cs="Times New Roman"/>
          <w:b/>
        </w:rPr>
        <w:t>Eligibility</w:t>
      </w:r>
      <w:r>
        <w:rPr>
          <w:rFonts w:ascii="Times New Roman" w:hAnsi="Times New Roman" w:cs="Times New Roman"/>
          <w:b/>
        </w:rPr>
        <w:t xml:space="preserve"> requirements for Needs-Related Payments</w:t>
      </w:r>
    </w:p>
    <w:p w14:paraId="0D612D34" w14:textId="77777777" w:rsidR="00453D9C" w:rsidRDefault="00453D9C" w:rsidP="00453D9C">
      <w:pPr>
        <w:pStyle w:val="Default"/>
        <w:rPr>
          <w:rFonts w:ascii="Times New Roman" w:hAnsi="Times New Roman" w:cs="Times New Roman"/>
          <w:color w:val="auto"/>
        </w:rPr>
      </w:pPr>
      <w:r>
        <w:rPr>
          <w:rFonts w:ascii="Times New Roman" w:hAnsi="Times New Roman" w:cs="Times New Roman"/>
          <w:color w:val="auto"/>
        </w:rPr>
        <w:t>To receive needs-related payments a dislocated worker must</w:t>
      </w:r>
      <w:r w:rsidR="00EA6AFA">
        <w:rPr>
          <w:rFonts w:ascii="Times New Roman" w:hAnsi="Times New Roman" w:cs="Times New Roman"/>
          <w:color w:val="auto"/>
        </w:rPr>
        <w:t xml:space="preserve"> meet criteria 1 or 2</w:t>
      </w:r>
      <w:r>
        <w:rPr>
          <w:rFonts w:ascii="Times New Roman" w:hAnsi="Times New Roman" w:cs="Times New Roman"/>
          <w:color w:val="auto"/>
        </w:rPr>
        <w:t>:</w:t>
      </w:r>
    </w:p>
    <w:p w14:paraId="640FD976" w14:textId="77777777" w:rsidR="00453D9C" w:rsidRDefault="00453D9C" w:rsidP="00453D9C">
      <w:pPr>
        <w:pStyle w:val="Default"/>
        <w:numPr>
          <w:ilvl w:val="0"/>
          <w:numId w:val="38"/>
        </w:numPr>
        <w:rPr>
          <w:rFonts w:ascii="Times New Roman" w:hAnsi="Times New Roman" w:cs="Times New Roman"/>
          <w:color w:val="auto"/>
        </w:rPr>
      </w:pPr>
      <w:r>
        <w:rPr>
          <w:rFonts w:ascii="Times New Roman" w:hAnsi="Times New Roman" w:cs="Times New Roman"/>
          <w:color w:val="auto"/>
        </w:rPr>
        <w:t>Be unemployed; and</w:t>
      </w:r>
    </w:p>
    <w:p w14:paraId="4F167F33" w14:textId="77777777" w:rsidR="00453D9C" w:rsidRDefault="00AB3F51" w:rsidP="00AB3F51">
      <w:pPr>
        <w:pStyle w:val="Default"/>
        <w:numPr>
          <w:ilvl w:val="1"/>
          <w:numId w:val="38"/>
        </w:numPr>
        <w:rPr>
          <w:rFonts w:ascii="Times New Roman" w:hAnsi="Times New Roman" w:cs="Times New Roman"/>
          <w:color w:val="auto"/>
        </w:rPr>
      </w:pPr>
      <w:r>
        <w:rPr>
          <w:rFonts w:ascii="Times New Roman" w:hAnsi="Times New Roman" w:cs="Times New Roman"/>
          <w:color w:val="auto"/>
        </w:rPr>
        <w:t>No longer qualifies</w:t>
      </w:r>
      <w:r w:rsidR="00453D9C">
        <w:rPr>
          <w:rFonts w:ascii="Times New Roman" w:hAnsi="Times New Roman" w:cs="Times New Roman"/>
          <w:color w:val="auto"/>
        </w:rPr>
        <w:t xml:space="preserve"> for unemployment compensation or trade readjustment allowance under TAA; and</w:t>
      </w:r>
    </w:p>
    <w:p w14:paraId="2D1AA09E" w14:textId="77777777" w:rsidR="00453D9C" w:rsidRDefault="00453D9C" w:rsidP="00453D9C">
      <w:pPr>
        <w:pStyle w:val="Default"/>
        <w:numPr>
          <w:ilvl w:val="1"/>
          <w:numId w:val="38"/>
        </w:numPr>
        <w:rPr>
          <w:rFonts w:ascii="Times New Roman" w:hAnsi="Times New Roman" w:cs="Times New Roman"/>
          <w:color w:val="auto"/>
        </w:rPr>
      </w:pPr>
      <w:r>
        <w:rPr>
          <w:rFonts w:ascii="Times New Roman" w:hAnsi="Times New Roman" w:cs="Times New Roman"/>
          <w:color w:val="auto"/>
        </w:rPr>
        <w:t>Be enrolled in a progra</w:t>
      </w:r>
      <w:r w:rsidR="00AB3F51">
        <w:rPr>
          <w:rFonts w:ascii="Times New Roman" w:hAnsi="Times New Roman" w:cs="Times New Roman"/>
          <w:color w:val="auto"/>
        </w:rPr>
        <w:t>m of training service</w:t>
      </w:r>
      <w:r>
        <w:rPr>
          <w:rFonts w:ascii="Times New Roman" w:hAnsi="Times New Roman" w:cs="Times New Roman"/>
          <w:color w:val="auto"/>
        </w:rPr>
        <w:t xml:space="preserve"> by the end of the 13</w:t>
      </w:r>
      <w:r w:rsidRPr="00986E39">
        <w:rPr>
          <w:rFonts w:ascii="Times New Roman" w:hAnsi="Times New Roman" w:cs="Times New Roman"/>
          <w:color w:val="auto"/>
          <w:vertAlign w:val="superscript"/>
        </w:rPr>
        <w:t>th</w:t>
      </w:r>
      <w:r>
        <w:rPr>
          <w:rFonts w:ascii="Times New Roman" w:hAnsi="Times New Roman" w:cs="Times New Roman"/>
          <w:color w:val="auto"/>
        </w:rPr>
        <w:t xml:space="preserve"> week after the most recent layoff that resulted in a determination of the worker’s eligibility as a dislocated worker, or, if later, by the end of the 8</w:t>
      </w:r>
      <w:r w:rsidRPr="00986E39">
        <w:rPr>
          <w:rFonts w:ascii="Times New Roman" w:hAnsi="Times New Roman" w:cs="Times New Roman"/>
          <w:color w:val="auto"/>
          <w:vertAlign w:val="superscript"/>
        </w:rPr>
        <w:t>th</w:t>
      </w:r>
      <w:r>
        <w:rPr>
          <w:rFonts w:ascii="Times New Roman" w:hAnsi="Times New Roman" w:cs="Times New Roman"/>
          <w:color w:val="auto"/>
        </w:rPr>
        <w:t xml:space="preserve"> week after the worker is informed that a short-term</w:t>
      </w:r>
      <w:r w:rsidR="00AB3F51">
        <w:rPr>
          <w:rFonts w:ascii="Times New Roman" w:hAnsi="Times New Roman" w:cs="Times New Roman"/>
          <w:color w:val="auto"/>
        </w:rPr>
        <w:t xml:space="preserve"> layoff will exceed 6 months.</w:t>
      </w:r>
    </w:p>
    <w:p w14:paraId="7190A61C" w14:textId="77777777" w:rsidR="00453D9C" w:rsidRDefault="00AB3F51" w:rsidP="00AB3F51">
      <w:pPr>
        <w:pStyle w:val="Default"/>
        <w:numPr>
          <w:ilvl w:val="0"/>
          <w:numId w:val="38"/>
        </w:numPr>
        <w:rPr>
          <w:rFonts w:ascii="Times New Roman" w:hAnsi="Times New Roman" w:cs="Times New Roman"/>
          <w:color w:val="auto"/>
        </w:rPr>
      </w:pPr>
      <w:r>
        <w:rPr>
          <w:rFonts w:ascii="Times New Roman" w:hAnsi="Times New Roman" w:cs="Times New Roman"/>
          <w:color w:val="auto"/>
        </w:rPr>
        <w:t>Be unemployed and does</w:t>
      </w:r>
      <w:r w:rsidR="00453D9C">
        <w:rPr>
          <w:rFonts w:ascii="Times New Roman" w:hAnsi="Times New Roman" w:cs="Times New Roman"/>
          <w:color w:val="auto"/>
        </w:rPr>
        <w:t xml:space="preserve"> not qualify for unemployment compensation or trade readjust</w:t>
      </w:r>
      <w:r>
        <w:rPr>
          <w:rFonts w:ascii="Times New Roman" w:hAnsi="Times New Roman" w:cs="Times New Roman"/>
          <w:color w:val="auto"/>
        </w:rPr>
        <w:t>ment assistance under TAA and</w:t>
      </w:r>
      <w:r w:rsidR="00453D9C">
        <w:rPr>
          <w:rFonts w:ascii="Times New Roman" w:hAnsi="Times New Roman" w:cs="Times New Roman"/>
          <w:color w:val="auto"/>
        </w:rPr>
        <w:t xml:space="preserve"> enrolled in a program </w:t>
      </w:r>
      <w:r>
        <w:rPr>
          <w:rFonts w:ascii="Times New Roman" w:hAnsi="Times New Roman" w:cs="Times New Roman"/>
          <w:color w:val="auto"/>
        </w:rPr>
        <w:t>of training services</w:t>
      </w:r>
      <w:r w:rsidR="00453D9C">
        <w:rPr>
          <w:rFonts w:ascii="Times New Roman" w:hAnsi="Times New Roman" w:cs="Times New Roman"/>
          <w:color w:val="auto"/>
        </w:rPr>
        <w:t xml:space="preserve">.  </w:t>
      </w:r>
    </w:p>
    <w:p w14:paraId="554182C5" w14:textId="77777777" w:rsidR="00453D9C" w:rsidRPr="00986E39" w:rsidRDefault="00453D9C" w:rsidP="00453D9C">
      <w:pPr>
        <w:pStyle w:val="Default"/>
        <w:ind w:left="1440"/>
        <w:rPr>
          <w:rFonts w:ascii="Times New Roman" w:hAnsi="Times New Roman" w:cs="Times New Roman"/>
          <w:color w:val="auto"/>
        </w:rPr>
      </w:pPr>
    </w:p>
    <w:p w14:paraId="4D42B07C" w14:textId="77777777" w:rsidR="00453D9C" w:rsidRPr="006C47B6" w:rsidRDefault="00453D9C" w:rsidP="00453D9C">
      <w:pPr>
        <w:autoSpaceDE w:val="0"/>
        <w:autoSpaceDN w:val="0"/>
        <w:adjustRightInd w:val="0"/>
        <w:spacing w:after="0" w:line="240" w:lineRule="auto"/>
        <w:rPr>
          <w:rFonts w:eastAsia="Times New Roman" w:cs="Times New Roman"/>
          <w:b/>
          <w:sz w:val="24"/>
          <w:szCs w:val="24"/>
        </w:rPr>
      </w:pPr>
      <w:r w:rsidRPr="006C47B6">
        <w:rPr>
          <w:rFonts w:eastAsia="Times New Roman" w:cs="Times New Roman"/>
          <w:b/>
          <w:sz w:val="24"/>
          <w:szCs w:val="24"/>
        </w:rPr>
        <w:t>Payments</w:t>
      </w:r>
    </w:p>
    <w:p w14:paraId="127954A0" w14:textId="77777777" w:rsidR="00453D9C" w:rsidRDefault="00453D9C" w:rsidP="00453D9C">
      <w:pPr>
        <w:autoSpaceDE w:val="0"/>
        <w:autoSpaceDN w:val="0"/>
        <w:adjustRightInd w:val="0"/>
        <w:spacing w:after="0" w:line="240" w:lineRule="auto"/>
        <w:rPr>
          <w:rFonts w:eastAsia="Times New Roman" w:cs="Times New Roman"/>
          <w:sz w:val="24"/>
          <w:szCs w:val="24"/>
        </w:rPr>
      </w:pPr>
      <w:r w:rsidRPr="006C47B6">
        <w:rPr>
          <w:rFonts w:eastAsia="Times New Roman" w:cs="Times New Roman"/>
          <w:sz w:val="24"/>
          <w:szCs w:val="24"/>
        </w:rPr>
        <w:t xml:space="preserve">Needs-related payments may be provided while a participant is waiting for training if the participant has been accepted in a training program that will begin within 30 calendar days. </w:t>
      </w:r>
    </w:p>
    <w:p w14:paraId="53B02DDA" w14:textId="77777777" w:rsidR="00453D9C" w:rsidRDefault="00453D9C" w:rsidP="00453D9C">
      <w:pPr>
        <w:autoSpaceDE w:val="0"/>
        <w:autoSpaceDN w:val="0"/>
        <w:adjustRightInd w:val="0"/>
        <w:spacing w:after="0" w:line="240" w:lineRule="auto"/>
        <w:rPr>
          <w:rFonts w:eastAsia="Times New Roman" w:cs="Times New Roman"/>
          <w:sz w:val="24"/>
          <w:szCs w:val="24"/>
        </w:rPr>
      </w:pPr>
    </w:p>
    <w:p w14:paraId="28DBF916" w14:textId="77777777" w:rsidR="00453D9C" w:rsidRPr="006C47B6" w:rsidRDefault="0014186A" w:rsidP="00453D9C">
      <w:pPr>
        <w:pStyle w:val="ListParagraph"/>
        <w:numPr>
          <w:ilvl w:val="0"/>
          <w:numId w:val="40"/>
        </w:num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Greater Nebraska does not authorize needs-related payments for Adults</w:t>
      </w:r>
      <w:r w:rsidR="00090C74">
        <w:rPr>
          <w:rFonts w:eastAsia="Times New Roman" w:cs="Times New Roman"/>
          <w:sz w:val="24"/>
          <w:szCs w:val="24"/>
        </w:rPr>
        <w:t xml:space="preserve"> or Youth</w:t>
      </w:r>
      <w:r>
        <w:rPr>
          <w:rFonts w:eastAsia="Times New Roman" w:cs="Times New Roman"/>
          <w:sz w:val="24"/>
          <w:szCs w:val="24"/>
        </w:rPr>
        <w:t>.</w:t>
      </w:r>
    </w:p>
    <w:p w14:paraId="19EF8242" w14:textId="77777777" w:rsidR="00453D9C" w:rsidRPr="005E5B0E" w:rsidRDefault="00453D9C" w:rsidP="00453D9C">
      <w:pPr>
        <w:pStyle w:val="ListParagraph"/>
        <w:numPr>
          <w:ilvl w:val="0"/>
          <w:numId w:val="40"/>
        </w:numPr>
        <w:autoSpaceDE w:val="0"/>
        <w:autoSpaceDN w:val="0"/>
        <w:adjustRightInd w:val="0"/>
        <w:spacing w:after="0" w:line="240" w:lineRule="auto"/>
        <w:rPr>
          <w:rFonts w:eastAsia="Times New Roman" w:cs="Times New Roman"/>
          <w:sz w:val="24"/>
          <w:szCs w:val="24"/>
        </w:rPr>
      </w:pPr>
      <w:r w:rsidRPr="006C47B6">
        <w:rPr>
          <w:rFonts w:eastAsia="Times New Roman" w:cs="Times New Roman"/>
          <w:sz w:val="24"/>
          <w:szCs w:val="24"/>
        </w:rPr>
        <w:t xml:space="preserve">For dislocated workers, payments must not exceed the greater of either of the following </w:t>
      </w:r>
      <w:r w:rsidRPr="005E5B0E">
        <w:rPr>
          <w:rFonts w:eastAsia="Times New Roman" w:cs="Times New Roman"/>
          <w:sz w:val="24"/>
          <w:szCs w:val="24"/>
        </w:rPr>
        <w:t>levels:</w:t>
      </w:r>
    </w:p>
    <w:p w14:paraId="1464D979" w14:textId="77777777" w:rsidR="005E5B0E" w:rsidRDefault="00453D9C" w:rsidP="005E5B0E">
      <w:pPr>
        <w:pStyle w:val="ListParagraph"/>
        <w:numPr>
          <w:ilvl w:val="0"/>
          <w:numId w:val="39"/>
        </w:numPr>
        <w:autoSpaceDE w:val="0"/>
        <w:autoSpaceDN w:val="0"/>
        <w:adjustRightInd w:val="0"/>
        <w:spacing w:after="0" w:line="240" w:lineRule="auto"/>
        <w:rPr>
          <w:rFonts w:eastAsia="Times New Roman" w:cs="Times New Roman"/>
          <w:sz w:val="24"/>
          <w:szCs w:val="24"/>
        </w:rPr>
      </w:pPr>
      <w:r w:rsidRPr="005E5B0E">
        <w:rPr>
          <w:rFonts w:eastAsia="Times New Roman" w:cs="Times New Roman"/>
          <w:sz w:val="24"/>
          <w:szCs w:val="24"/>
        </w:rPr>
        <w:t xml:space="preserve">The applicable weekly level of the unemployment compensation benefit, for participants who were eligible for unemployment compensation as a result of the qualifying dislocation; or </w:t>
      </w:r>
    </w:p>
    <w:p w14:paraId="7BF7B2F9" w14:textId="4C6516D8" w:rsidR="00453D9C" w:rsidRDefault="00453D9C" w:rsidP="005E5B0E">
      <w:pPr>
        <w:pStyle w:val="ListParagraph"/>
        <w:numPr>
          <w:ilvl w:val="0"/>
          <w:numId w:val="39"/>
        </w:numPr>
        <w:autoSpaceDE w:val="0"/>
        <w:autoSpaceDN w:val="0"/>
        <w:adjustRightInd w:val="0"/>
        <w:spacing w:after="0" w:line="240" w:lineRule="auto"/>
        <w:rPr>
          <w:rFonts w:eastAsia="Times New Roman" w:cs="Times New Roman"/>
          <w:sz w:val="24"/>
          <w:szCs w:val="24"/>
        </w:rPr>
      </w:pPr>
      <w:r w:rsidRPr="005E5B0E">
        <w:rPr>
          <w:rFonts w:eastAsia="Times New Roman" w:cs="Times New Roman"/>
          <w:sz w:val="24"/>
          <w:szCs w:val="24"/>
        </w:rPr>
        <w:t xml:space="preserve">The poverty level for an equivalent period, for participants who did not qualify for unemployment compensation as a </w:t>
      </w:r>
      <w:r w:rsidR="0014186A" w:rsidRPr="005E5B0E">
        <w:rPr>
          <w:rFonts w:eastAsia="Times New Roman" w:cs="Times New Roman"/>
          <w:sz w:val="24"/>
          <w:szCs w:val="24"/>
        </w:rPr>
        <w:t>result</w:t>
      </w:r>
      <w:r w:rsidR="00BB6ABA" w:rsidRPr="005E5B0E">
        <w:rPr>
          <w:rFonts w:eastAsia="Times New Roman" w:cs="Times New Roman"/>
          <w:sz w:val="24"/>
          <w:szCs w:val="24"/>
        </w:rPr>
        <w:t xml:space="preserve"> of the qualifying layoff. T</w:t>
      </w:r>
      <w:r w:rsidRPr="005E5B0E">
        <w:rPr>
          <w:rFonts w:eastAsia="Times New Roman" w:cs="Times New Roman"/>
          <w:sz w:val="24"/>
          <w:szCs w:val="24"/>
        </w:rPr>
        <w:t>he weekly payment level must be adjusted to reflect changes in total family inco</w:t>
      </w:r>
      <w:r w:rsidR="00BB6ABA" w:rsidRPr="005E5B0E">
        <w:rPr>
          <w:rFonts w:eastAsia="Times New Roman" w:cs="Times New Roman"/>
          <w:sz w:val="24"/>
          <w:szCs w:val="24"/>
        </w:rPr>
        <w:t>me.</w:t>
      </w:r>
      <w:r w:rsidR="00723BC7" w:rsidRPr="005E5B0E">
        <w:rPr>
          <w:rFonts w:eastAsia="Times New Roman" w:cs="Times New Roman"/>
          <w:sz w:val="24"/>
          <w:szCs w:val="24"/>
        </w:rPr>
        <w:t xml:space="preserve"> </w:t>
      </w:r>
    </w:p>
    <w:p w14:paraId="5D2A2F1D" w14:textId="77777777" w:rsidR="004C0FA0" w:rsidRDefault="004C0FA0" w:rsidP="004C0FA0">
      <w:pPr>
        <w:pStyle w:val="ListParagraph"/>
        <w:autoSpaceDE w:val="0"/>
        <w:autoSpaceDN w:val="0"/>
        <w:adjustRightInd w:val="0"/>
        <w:spacing w:after="0" w:line="240" w:lineRule="auto"/>
        <w:ind w:left="1080"/>
        <w:rPr>
          <w:rFonts w:eastAsia="Times New Roman" w:cs="Times New Roman"/>
          <w:sz w:val="24"/>
          <w:szCs w:val="24"/>
        </w:rPr>
      </w:pPr>
    </w:p>
    <w:p w14:paraId="6899E740" w14:textId="77777777" w:rsidR="000433EE" w:rsidRPr="000433EE" w:rsidRDefault="000433EE" w:rsidP="000433EE">
      <w:pPr>
        <w:autoSpaceDE w:val="0"/>
        <w:autoSpaceDN w:val="0"/>
        <w:adjustRightInd w:val="0"/>
        <w:spacing w:after="0" w:line="240" w:lineRule="auto"/>
        <w:rPr>
          <w:rFonts w:eastAsia="Times New Roman" w:cs="Times New Roman"/>
          <w:sz w:val="24"/>
          <w:szCs w:val="24"/>
        </w:rPr>
      </w:pPr>
    </w:p>
    <w:tbl>
      <w:tblPr>
        <w:tblW w:w="8793" w:type="dxa"/>
        <w:tblLook w:val="04A0" w:firstRow="1" w:lastRow="0" w:firstColumn="1" w:lastColumn="0" w:noHBand="0" w:noVBand="1"/>
      </w:tblPr>
      <w:tblGrid>
        <w:gridCol w:w="2873"/>
        <w:gridCol w:w="2014"/>
        <w:gridCol w:w="1927"/>
        <w:gridCol w:w="1979"/>
      </w:tblGrid>
      <w:tr w:rsidR="000433EE" w:rsidRPr="000433EE" w14:paraId="64A2FEE2" w14:textId="77777777" w:rsidTr="000433EE">
        <w:trPr>
          <w:trHeight w:val="475"/>
        </w:trPr>
        <w:tc>
          <w:tcPr>
            <w:tcW w:w="8793" w:type="dxa"/>
            <w:gridSpan w:val="4"/>
            <w:tcBorders>
              <w:top w:val="nil"/>
              <w:left w:val="nil"/>
              <w:bottom w:val="nil"/>
              <w:right w:val="nil"/>
            </w:tcBorders>
            <w:shd w:val="clear" w:color="000000" w:fill="BDD7EE"/>
            <w:noWrap/>
            <w:vAlign w:val="bottom"/>
            <w:hideMark/>
          </w:tcPr>
          <w:p w14:paraId="7349788F" w14:textId="77777777" w:rsidR="000433EE" w:rsidRPr="000433EE" w:rsidRDefault="000433EE" w:rsidP="000433EE">
            <w:pPr>
              <w:spacing w:after="0" w:line="240" w:lineRule="auto"/>
              <w:jc w:val="center"/>
              <w:rPr>
                <w:rFonts w:ascii="Arial" w:eastAsia="Times New Roman" w:hAnsi="Arial" w:cs="Arial"/>
                <w:color w:val="000000"/>
                <w:sz w:val="32"/>
                <w:szCs w:val="32"/>
              </w:rPr>
            </w:pPr>
            <w:r w:rsidRPr="000433EE">
              <w:rPr>
                <w:rFonts w:ascii="Arial" w:eastAsia="Times New Roman" w:hAnsi="Arial" w:cs="Arial"/>
                <w:color w:val="000000"/>
                <w:sz w:val="32"/>
                <w:szCs w:val="32"/>
              </w:rPr>
              <w:lastRenderedPageBreak/>
              <w:t>2018 Poverty Guidelines/ Lower Living Standard Income Level (LLSIL)</w:t>
            </w:r>
          </w:p>
        </w:tc>
      </w:tr>
      <w:tr w:rsidR="000433EE" w:rsidRPr="000433EE" w14:paraId="74D19FEC"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DDEBF7" w:fill="DDEBF7"/>
            <w:vAlign w:val="center"/>
            <w:hideMark/>
          </w:tcPr>
          <w:p w14:paraId="5C190488" w14:textId="77777777" w:rsidR="000433EE" w:rsidRPr="000433EE" w:rsidRDefault="000433EE" w:rsidP="000433EE">
            <w:pPr>
              <w:spacing w:after="0" w:line="240" w:lineRule="auto"/>
              <w:jc w:val="center"/>
              <w:rPr>
                <w:rFonts w:ascii="Arial" w:eastAsia="Times New Roman" w:hAnsi="Arial" w:cs="Arial"/>
                <w:b/>
                <w:bCs/>
                <w:color w:val="333333"/>
              </w:rPr>
            </w:pPr>
            <w:r w:rsidRPr="000433EE">
              <w:rPr>
                <w:rFonts w:ascii="Arial" w:eastAsia="Times New Roman" w:hAnsi="Arial" w:cs="Arial"/>
                <w:b/>
                <w:bCs/>
                <w:color w:val="333333"/>
              </w:rPr>
              <w:t>Persons in Family/Household</w:t>
            </w:r>
          </w:p>
        </w:tc>
        <w:tc>
          <w:tcPr>
            <w:tcW w:w="2014" w:type="dxa"/>
            <w:tcBorders>
              <w:top w:val="single" w:sz="4" w:space="0" w:color="9BC2E6"/>
              <w:left w:val="nil"/>
              <w:bottom w:val="single" w:sz="4" w:space="0" w:color="9BC2E6"/>
              <w:right w:val="nil"/>
            </w:tcBorders>
            <w:shd w:val="clear" w:color="DDEBF7" w:fill="DDEBF7"/>
            <w:vAlign w:val="center"/>
            <w:hideMark/>
          </w:tcPr>
          <w:p w14:paraId="46CFCCD8" w14:textId="77777777" w:rsidR="000433EE" w:rsidRPr="000433EE" w:rsidRDefault="000433EE" w:rsidP="000433EE">
            <w:pPr>
              <w:spacing w:after="0" w:line="240" w:lineRule="auto"/>
              <w:jc w:val="center"/>
              <w:rPr>
                <w:rFonts w:ascii="Arial" w:eastAsia="Times New Roman" w:hAnsi="Arial" w:cs="Arial"/>
                <w:b/>
                <w:bCs/>
                <w:color w:val="333333"/>
              </w:rPr>
            </w:pPr>
            <w:r w:rsidRPr="000433EE">
              <w:rPr>
                <w:rFonts w:ascii="Arial" w:eastAsia="Times New Roman" w:hAnsi="Arial" w:cs="Arial"/>
                <w:b/>
                <w:bCs/>
                <w:color w:val="333333"/>
              </w:rPr>
              <w:t>Poverty Guideline</w:t>
            </w:r>
          </w:p>
        </w:tc>
        <w:tc>
          <w:tcPr>
            <w:tcW w:w="1927" w:type="dxa"/>
            <w:tcBorders>
              <w:top w:val="single" w:sz="4" w:space="0" w:color="9BC2E6"/>
              <w:left w:val="nil"/>
              <w:bottom w:val="single" w:sz="4" w:space="0" w:color="9BC2E6"/>
              <w:right w:val="nil"/>
            </w:tcBorders>
            <w:shd w:val="clear" w:color="DDEBF7" w:fill="DDEBF7"/>
            <w:vAlign w:val="bottom"/>
            <w:hideMark/>
          </w:tcPr>
          <w:p w14:paraId="2CF2427A" w14:textId="77777777" w:rsidR="000433EE" w:rsidRPr="000433EE" w:rsidRDefault="000433EE" w:rsidP="000433EE">
            <w:pPr>
              <w:spacing w:after="0" w:line="240" w:lineRule="auto"/>
              <w:jc w:val="center"/>
              <w:rPr>
                <w:rFonts w:ascii="Arial" w:eastAsia="Times New Roman" w:hAnsi="Arial" w:cs="Arial"/>
                <w:b/>
                <w:bCs/>
                <w:color w:val="000000"/>
              </w:rPr>
            </w:pPr>
            <w:r w:rsidRPr="000433EE">
              <w:rPr>
                <w:rFonts w:ascii="Arial" w:eastAsia="Times New Roman" w:hAnsi="Arial" w:cs="Arial"/>
                <w:b/>
                <w:bCs/>
                <w:color w:val="000000"/>
              </w:rPr>
              <w:t>LLSIL</w:t>
            </w:r>
          </w:p>
        </w:tc>
        <w:tc>
          <w:tcPr>
            <w:tcW w:w="1979" w:type="dxa"/>
            <w:tcBorders>
              <w:top w:val="single" w:sz="4" w:space="0" w:color="9BC2E6"/>
              <w:left w:val="nil"/>
              <w:bottom w:val="single" w:sz="4" w:space="0" w:color="9BC2E6"/>
              <w:right w:val="single" w:sz="4" w:space="0" w:color="9BC2E6"/>
            </w:tcBorders>
            <w:shd w:val="clear" w:color="DDEBF7" w:fill="DDEBF7"/>
            <w:vAlign w:val="bottom"/>
            <w:hideMark/>
          </w:tcPr>
          <w:p w14:paraId="64ED0B26" w14:textId="77777777" w:rsidR="000433EE" w:rsidRPr="000433EE" w:rsidRDefault="000433EE" w:rsidP="000433EE">
            <w:pPr>
              <w:spacing w:after="0" w:line="240" w:lineRule="auto"/>
              <w:jc w:val="center"/>
              <w:rPr>
                <w:rFonts w:ascii="Arial" w:eastAsia="Times New Roman" w:hAnsi="Arial" w:cs="Arial"/>
                <w:b/>
                <w:bCs/>
                <w:color w:val="000000"/>
              </w:rPr>
            </w:pPr>
            <w:r w:rsidRPr="000433EE">
              <w:rPr>
                <w:rFonts w:ascii="Arial" w:eastAsia="Times New Roman" w:hAnsi="Arial" w:cs="Arial"/>
                <w:b/>
                <w:bCs/>
                <w:color w:val="000000"/>
              </w:rPr>
              <w:t xml:space="preserve">70% LLSIL </w:t>
            </w:r>
          </w:p>
        </w:tc>
      </w:tr>
      <w:tr w:rsidR="000433EE" w:rsidRPr="000433EE" w14:paraId="5E5B55AB"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auto" w:fill="auto"/>
            <w:vAlign w:val="center"/>
            <w:hideMark/>
          </w:tcPr>
          <w:p w14:paraId="28F108E3"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1</w:t>
            </w:r>
          </w:p>
        </w:tc>
        <w:tc>
          <w:tcPr>
            <w:tcW w:w="2014" w:type="dxa"/>
            <w:tcBorders>
              <w:top w:val="single" w:sz="4" w:space="0" w:color="9BC2E6"/>
              <w:left w:val="nil"/>
              <w:bottom w:val="single" w:sz="4" w:space="0" w:color="9BC2E6"/>
              <w:right w:val="nil"/>
            </w:tcBorders>
            <w:shd w:val="clear" w:color="auto" w:fill="auto"/>
            <w:vAlign w:val="center"/>
            <w:hideMark/>
          </w:tcPr>
          <w:p w14:paraId="41EEB286"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 xml:space="preserve">$12,140 </w:t>
            </w:r>
          </w:p>
        </w:tc>
        <w:tc>
          <w:tcPr>
            <w:tcW w:w="1927" w:type="dxa"/>
            <w:tcBorders>
              <w:top w:val="single" w:sz="4" w:space="0" w:color="9BC2E6"/>
              <w:left w:val="nil"/>
              <w:bottom w:val="single" w:sz="4" w:space="0" w:color="9BC2E6"/>
              <w:right w:val="nil"/>
            </w:tcBorders>
            <w:shd w:val="clear" w:color="auto" w:fill="auto"/>
            <w:noWrap/>
            <w:vAlign w:val="bottom"/>
            <w:hideMark/>
          </w:tcPr>
          <w:p w14:paraId="7D439225"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13,255</w:t>
            </w:r>
          </w:p>
        </w:tc>
        <w:tc>
          <w:tcPr>
            <w:tcW w:w="1979" w:type="dxa"/>
            <w:tcBorders>
              <w:top w:val="single" w:sz="4" w:space="0" w:color="9BC2E6"/>
              <w:left w:val="nil"/>
              <w:bottom w:val="single" w:sz="4" w:space="0" w:color="9BC2E6"/>
              <w:right w:val="single" w:sz="4" w:space="0" w:color="9BC2E6"/>
            </w:tcBorders>
            <w:shd w:val="clear" w:color="auto" w:fill="auto"/>
            <w:noWrap/>
            <w:vAlign w:val="bottom"/>
            <w:hideMark/>
          </w:tcPr>
          <w:p w14:paraId="244AA2FC"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9,278</w:t>
            </w:r>
          </w:p>
        </w:tc>
      </w:tr>
      <w:tr w:rsidR="000433EE" w:rsidRPr="000433EE" w14:paraId="5684FDA6"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DDEBF7" w:fill="DDEBF7"/>
            <w:vAlign w:val="center"/>
            <w:hideMark/>
          </w:tcPr>
          <w:p w14:paraId="70F25CD5"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2</w:t>
            </w:r>
          </w:p>
        </w:tc>
        <w:tc>
          <w:tcPr>
            <w:tcW w:w="2014" w:type="dxa"/>
            <w:tcBorders>
              <w:top w:val="single" w:sz="4" w:space="0" w:color="9BC2E6"/>
              <w:left w:val="nil"/>
              <w:bottom w:val="single" w:sz="4" w:space="0" w:color="9BC2E6"/>
              <w:right w:val="nil"/>
            </w:tcBorders>
            <w:shd w:val="clear" w:color="DDEBF7" w:fill="DDEBF7"/>
            <w:vAlign w:val="center"/>
            <w:hideMark/>
          </w:tcPr>
          <w:p w14:paraId="1CE03DCF"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16,460</w:t>
            </w:r>
          </w:p>
        </w:tc>
        <w:tc>
          <w:tcPr>
            <w:tcW w:w="1927" w:type="dxa"/>
            <w:tcBorders>
              <w:top w:val="single" w:sz="4" w:space="0" w:color="9BC2E6"/>
              <w:left w:val="nil"/>
              <w:bottom w:val="single" w:sz="4" w:space="0" w:color="9BC2E6"/>
              <w:right w:val="nil"/>
            </w:tcBorders>
            <w:shd w:val="clear" w:color="DDEBF7" w:fill="DDEBF7"/>
            <w:noWrap/>
            <w:vAlign w:val="bottom"/>
            <w:hideMark/>
          </w:tcPr>
          <w:p w14:paraId="61AFED5D"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21,703</w:t>
            </w:r>
          </w:p>
        </w:tc>
        <w:tc>
          <w:tcPr>
            <w:tcW w:w="1979" w:type="dxa"/>
            <w:tcBorders>
              <w:top w:val="single" w:sz="4" w:space="0" w:color="9BC2E6"/>
              <w:left w:val="nil"/>
              <w:bottom w:val="single" w:sz="4" w:space="0" w:color="9BC2E6"/>
              <w:right w:val="single" w:sz="4" w:space="0" w:color="9BC2E6"/>
            </w:tcBorders>
            <w:shd w:val="clear" w:color="DDEBF7" w:fill="DDEBF7"/>
            <w:noWrap/>
            <w:vAlign w:val="bottom"/>
            <w:hideMark/>
          </w:tcPr>
          <w:p w14:paraId="3531E758"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15,192</w:t>
            </w:r>
          </w:p>
        </w:tc>
      </w:tr>
      <w:tr w:rsidR="000433EE" w:rsidRPr="000433EE" w14:paraId="6D153357"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auto" w:fill="auto"/>
            <w:vAlign w:val="center"/>
            <w:hideMark/>
          </w:tcPr>
          <w:p w14:paraId="4703AB9C"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3</w:t>
            </w:r>
          </w:p>
        </w:tc>
        <w:tc>
          <w:tcPr>
            <w:tcW w:w="2014" w:type="dxa"/>
            <w:tcBorders>
              <w:top w:val="single" w:sz="4" w:space="0" w:color="9BC2E6"/>
              <w:left w:val="nil"/>
              <w:bottom w:val="single" w:sz="4" w:space="0" w:color="9BC2E6"/>
              <w:right w:val="nil"/>
            </w:tcBorders>
            <w:shd w:val="clear" w:color="auto" w:fill="auto"/>
            <w:vAlign w:val="center"/>
            <w:hideMark/>
          </w:tcPr>
          <w:p w14:paraId="72DB657F"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20,780</w:t>
            </w:r>
          </w:p>
        </w:tc>
        <w:tc>
          <w:tcPr>
            <w:tcW w:w="1927" w:type="dxa"/>
            <w:tcBorders>
              <w:top w:val="single" w:sz="4" w:space="0" w:color="9BC2E6"/>
              <w:left w:val="nil"/>
              <w:bottom w:val="single" w:sz="4" w:space="0" w:color="9BC2E6"/>
              <w:right w:val="nil"/>
            </w:tcBorders>
            <w:shd w:val="clear" w:color="auto" w:fill="auto"/>
            <w:noWrap/>
            <w:vAlign w:val="bottom"/>
            <w:hideMark/>
          </w:tcPr>
          <w:p w14:paraId="65D1B391"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29,798</w:t>
            </w:r>
          </w:p>
        </w:tc>
        <w:tc>
          <w:tcPr>
            <w:tcW w:w="1979" w:type="dxa"/>
            <w:tcBorders>
              <w:top w:val="single" w:sz="4" w:space="0" w:color="9BC2E6"/>
              <w:left w:val="nil"/>
              <w:bottom w:val="single" w:sz="4" w:space="0" w:color="9BC2E6"/>
              <w:right w:val="single" w:sz="4" w:space="0" w:color="9BC2E6"/>
            </w:tcBorders>
            <w:shd w:val="clear" w:color="auto" w:fill="auto"/>
            <w:noWrap/>
            <w:vAlign w:val="bottom"/>
            <w:hideMark/>
          </w:tcPr>
          <w:p w14:paraId="38E2BA63"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20,859</w:t>
            </w:r>
          </w:p>
        </w:tc>
      </w:tr>
      <w:tr w:rsidR="000433EE" w:rsidRPr="000433EE" w14:paraId="6C95080C"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DDEBF7" w:fill="DDEBF7"/>
            <w:vAlign w:val="center"/>
            <w:hideMark/>
          </w:tcPr>
          <w:p w14:paraId="615F8677"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4</w:t>
            </w:r>
          </w:p>
        </w:tc>
        <w:tc>
          <w:tcPr>
            <w:tcW w:w="2014" w:type="dxa"/>
            <w:tcBorders>
              <w:top w:val="single" w:sz="4" w:space="0" w:color="9BC2E6"/>
              <w:left w:val="nil"/>
              <w:bottom w:val="single" w:sz="4" w:space="0" w:color="9BC2E6"/>
              <w:right w:val="nil"/>
            </w:tcBorders>
            <w:shd w:val="clear" w:color="DDEBF7" w:fill="DDEBF7"/>
            <w:vAlign w:val="center"/>
            <w:hideMark/>
          </w:tcPr>
          <w:p w14:paraId="28B678CB"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25,100</w:t>
            </w:r>
          </w:p>
        </w:tc>
        <w:tc>
          <w:tcPr>
            <w:tcW w:w="1927" w:type="dxa"/>
            <w:tcBorders>
              <w:top w:val="single" w:sz="4" w:space="0" w:color="9BC2E6"/>
              <w:left w:val="nil"/>
              <w:bottom w:val="single" w:sz="4" w:space="0" w:color="9BC2E6"/>
              <w:right w:val="nil"/>
            </w:tcBorders>
            <w:shd w:val="clear" w:color="DDEBF7" w:fill="DDEBF7"/>
            <w:noWrap/>
            <w:vAlign w:val="bottom"/>
            <w:hideMark/>
          </w:tcPr>
          <w:p w14:paraId="7B44DD5B"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36,784</w:t>
            </w:r>
          </w:p>
        </w:tc>
        <w:tc>
          <w:tcPr>
            <w:tcW w:w="1979" w:type="dxa"/>
            <w:tcBorders>
              <w:top w:val="single" w:sz="4" w:space="0" w:color="9BC2E6"/>
              <w:left w:val="nil"/>
              <w:bottom w:val="single" w:sz="4" w:space="0" w:color="9BC2E6"/>
              <w:right w:val="single" w:sz="4" w:space="0" w:color="9BC2E6"/>
            </w:tcBorders>
            <w:shd w:val="clear" w:color="DDEBF7" w:fill="DDEBF7"/>
            <w:noWrap/>
            <w:vAlign w:val="bottom"/>
            <w:hideMark/>
          </w:tcPr>
          <w:p w14:paraId="1BECF58E"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25,749</w:t>
            </w:r>
          </w:p>
        </w:tc>
      </w:tr>
      <w:tr w:rsidR="000433EE" w:rsidRPr="000433EE" w14:paraId="75C78153"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auto" w:fill="auto"/>
            <w:vAlign w:val="center"/>
            <w:hideMark/>
          </w:tcPr>
          <w:p w14:paraId="2C62AECB"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5</w:t>
            </w:r>
          </w:p>
        </w:tc>
        <w:tc>
          <w:tcPr>
            <w:tcW w:w="2014" w:type="dxa"/>
            <w:tcBorders>
              <w:top w:val="single" w:sz="4" w:space="0" w:color="9BC2E6"/>
              <w:left w:val="nil"/>
              <w:bottom w:val="single" w:sz="4" w:space="0" w:color="9BC2E6"/>
              <w:right w:val="nil"/>
            </w:tcBorders>
            <w:shd w:val="clear" w:color="auto" w:fill="auto"/>
            <w:vAlign w:val="center"/>
            <w:hideMark/>
          </w:tcPr>
          <w:p w14:paraId="60D87417"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29,420</w:t>
            </w:r>
          </w:p>
        </w:tc>
        <w:tc>
          <w:tcPr>
            <w:tcW w:w="1927" w:type="dxa"/>
            <w:tcBorders>
              <w:top w:val="single" w:sz="4" w:space="0" w:color="9BC2E6"/>
              <w:left w:val="nil"/>
              <w:bottom w:val="single" w:sz="4" w:space="0" w:color="9BC2E6"/>
              <w:right w:val="nil"/>
            </w:tcBorders>
            <w:shd w:val="clear" w:color="auto" w:fill="auto"/>
            <w:noWrap/>
            <w:vAlign w:val="bottom"/>
            <w:hideMark/>
          </w:tcPr>
          <w:p w14:paraId="6AEA8818"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43,418</w:t>
            </w:r>
          </w:p>
        </w:tc>
        <w:tc>
          <w:tcPr>
            <w:tcW w:w="1979" w:type="dxa"/>
            <w:tcBorders>
              <w:top w:val="single" w:sz="4" w:space="0" w:color="9BC2E6"/>
              <w:left w:val="nil"/>
              <w:bottom w:val="single" w:sz="4" w:space="0" w:color="9BC2E6"/>
              <w:right w:val="single" w:sz="4" w:space="0" w:color="9BC2E6"/>
            </w:tcBorders>
            <w:shd w:val="clear" w:color="auto" w:fill="auto"/>
            <w:noWrap/>
            <w:vAlign w:val="bottom"/>
            <w:hideMark/>
          </w:tcPr>
          <w:p w14:paraId="4273F695"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30,392</w:t>
            </w:r>
          </w:p>
        </w:tc>
      </w:tr>
      <w:tr w:rsidR="000433EE" w:rsidRPr="000433EE" w14:paraId="672C052E"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DDEBF7" w:fill="DDEBF7"/>
            <w:vAlign w:val="center"/>
            <w:hideMark/>
          </w:tcPr>
          <w:p w14:paraId="01B94D22"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6</w:t>
            </w:r>
          </w:p>
        </w:tc>
        <w:tc>
          <w:tcPr>
            <w:tcW w:w="2014" w:type="dxa"/>
            <w:tcBorders>
              <w:top w:val="single" w:sz="4" w:space="0" w:color="9BC2E6"/>
              <w:left w:val="nil"/>
              <w:bottom w:val="single" w:sz="4" w:space="0" w:color="9BC2E6"/>
              <w:right w:val="nil"/>
            </w:tcBorders>
            <w:shd w:val="clear" w:color="DDEBF7" w:fill="DDEBF7"/>
            <w:vAlign w:val="center"/>
            <w:hideMark/>
          </w:tcPr>
          <w:p w14:paraId="3CD0CE1E"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33,740</w:t>
            </w:r>
          </w:p>
        </w:tc>
        <w:tc>
          <w:tcPr>
            <w:tcW w:w="1927" w:type="dxa"/>
            <w:tcBorders>
              <w:top w:val="single" w:sz="4" w:space="0" w:color="9BC2E6"/>
              <w:left w:val="nil"/>
              <w:bottom w:val="single" w:sz="4" w:space="0" w:color="9BC2E6"/>
              <w:right w:val="nil"/>
            </w:tcBorders>
            <w:shd w:val="clear" w:color="DDEBF7" w:fill="DDEBF7"/>
            <w:noWrap/>
            <w:vAlign w:val="bottom"/>
            <w:hideMark/>
          </w:tcPr>
          <w:p w14:paraId="31803AA8"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50,774</w:t>
            </w:r>
          </w:p>
        </w:tc>
        <w:tc>
          <w:tcPr>
            <w:tcW w:w="1979" w:type="dxa"/>
            <w:tcBorders>
              <w:top w:val="single" w:sz="4" w:space="0" w:color="9BC2E6"/>
              <w:left w:val="nil"/>
              <w:bottom w:val="single" w:sz="4" w:space="0" w:color="9BC2E6"/>
              <w:right w:val="single" w:sz="4" w:space="0" w:color="9BC2E6"/>
            </w:tcBorders>
            <w:shd w:val="clear" w:color="DDEBF7" w:fill="DDEBF7"/>
            <w:noWrap/>
            <w:vAlign w:val="bottom"/>
            <w:hideMark/>
          </w:tcPr>
          <w:p w14:paraId="1F56FCC6"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35,542</w:t>
            </w:r>
          </w:p>
        </w:tc>
      </w:tr>
      <w:tr w:rsidR="000433EE" w:rsidRPr="000433EE" w14:paraId="53FF2C2D"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auto" w:fill="auto"/>
            <w:vAlign w:val="center"/>
            <w:hideMark/>
          </w:tcPr>
          <w:p w14:paraId="1ECF99F8"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7</w:t>
            </w:r>
          </w:p>
        </w:tc>
        <w:tc>
          <w:tcPr>
            <w:tcW w:w="2014" w:type="dxa"/>
            <w:tcBorders>
              <w:top w:val="single" w:sz="4" w:space="0" w:color="9BC2E6"/>
              <w:left w:val="nil"/>
              <w:bottom w:val="single" w:sz="4" w:space="0" w:color="9BC2E6"/>
              <w:right w:val="nil"/>
            </w:tcBorders>
            <w:shd w:val="clear" w:color="auto" w:fill="auto"/>
            <w:vAlign w:val="center"/>
            <w:hideMark/>
          </w:tcPr>
          <w:p w14:paraId="1D5273EC"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38,060</w:t>
            </w:r>
          </w:p>
        </w:tc>
        <w:tc>
          <w:tcPr>
            <w:tcW w:w="1927" w:type="dxa"/>
            <w:tcBorders>
              <w:top w:val="single" w:sz="4" w:space="0" w:color="9BC2E6"/>
              <w:left w:val="nil"/>
              <w:bottom w:val="single" w:sz="4" w:space="0" w:color="9BC2E6"/>
              <w:right w:val="nil"/>
            </w:tcBorders>
            <w:shd w:val="clear" w:color="auto" w:fill="auto"/>
            <w:noWrap/>
            <w:vAlign w:val="bottom"/>
            <w:hideMark/>
          </w:tcPr>
          <w:p w14:paraId="7F35DA61"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58,130</w:t>
            </w:r>
          </w:p>
        </w:tc>
        <w:tc>
          <w:tcPr>
            <w:tcW w:w="1979" w:type="dxa"/>
            <w:tcBorders>
              <w:top w:val="single" w:sz="4" w:space="0" w:color="9BC2E6"/>
              <w:left w:val="nil"/>
              <w:bottom w:val="single" w:sz="4" w:space="0" w:color="9BC2E6"/>
              <w:right w:val="single" w:sz="4" w:space="0" w:color="9BC2E6"/>
            </w:tcBorders>
            <w:shd w:val="clear" w:color="auto" w:fill="auto"/>
            <w:noWrap/>
            <w:vAlign w:val="bottom"/>
            <w:hideMark/>
          </w:tcPr>
          <w:p w14:paraId="5007BD8A"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40,691</w:t>
            </w:r>
          </w:p>
        </w:tc>
      </w:tr>
      <w:tr w:rsidR="000433EE" w:rsidRPr="000433EE" w14:paraId="5F86D767" w14:textId="77777777" w:rsidTr="000433EE">
        <w:trPr>
          <w:trHeight w:val="237"/>
        </w:trPr>
        <w:tc>
          <w:tcPr>
            <w:tcW w:w="2873" w:type="dxa"/>
            <w:tcBorders>
              <w:top w:val="single" w:sz="4" w:space="0" w:color="9BC2E6"/>
              <w:left w:val="single" w:sz="4" w:space="0" w:color="9BC2E6"/>
              <w:bottom w:val="single" w:sz="4" w:space="0" w:color="9BC2E6"/>
              <w:right w:val="nil"/>
            </w:tcBorders>
            <w:shd w:val="clear" w:color="DDEBF7" w:fill="DDEBF7"/>
            <w:vAlign w:val="center"/>
            <w:hideMark/>
          </w:tcPr>
          <w:p w14:paraId="7F4E9A67"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8</w:t>
            </w:r>
          </w:p>
        </w:tc>
        <w:tc>
          <w:tcPr>
            <w:tcW w:w="2014" w:type="dxa"/>
            <w:tcBorders>
              <w:top w:val="single" w:sz="4" w:space="0" w:color="9BC2E6"/>
              <w:left w:val="nil"/>
              <w:bottom w:val="single" w:sz="4" w:space="0" w:color="9BC2E6"/>
              <w:right w:val="nil"/>
            </w:tcBorders>
            <w:shd w:val="clear" w:color="DDEBF7" w:fill="DDEBF7"/>
            <w:vAlign w:val="center"/>
            <w:hideMark/>
          </w:tcPr>
          <w:p w14:paraId="05865C61" w14:textId="77777777" w:rsidR="000433EE" w:rsidRPr="000433EE" w:rsidRDefault="000433EE" w:rsidP="000433EE">
            <w:pPr>
              <w:spacing w:after="0" w:line="240" w:lineRule="auto"/>
              <w:jc w:val="right"/>
              <w:rPr>
                <w:rFonts w:ascii="Arial" w:eastAsia="Times New Roman" w:hAnsi="Arial" w:cs="Arial"/>
                <w:color w:val="333333"/>
              </w:rPr>
            </w:pPr>
            <w:r w:rsidRPr="000433EE">
              <w:rPr>
                <w:rFonts w:ascii="Arial" w:eastAsia="Times New Roman" w:hAnsi="Arial" w:cs="Arial"/>
                <w:color w:val="333333"/>
              </w:rPr>
              <w:t>42,380</w:t>
            </w:r>
          </w:p>
        </w:tc>
        <w:tc>
          <w:tcPr>
            <w:tcW w:w="1927" w:type="dxa"/>
            <w:tcBorders>
              <w:top w:val="single" w:sz="4" w:space="0" w:color="9BC2E6"/>
              <w:left w:val="nil"/>
              <w:bottom w:val="single" w:sz="4" w:space="0" w:color="9BC2E6"/>
              <w:right w:val="nil"/>
            </w:tcBorders>
            <w:shd w:val="clear" w:color="DDEBF7" w:fill="DDEBF7"/>
            <w:noWrap/>
            <w:vAlign w:val="bottom"/>
            <w:hideMark/>
          </w:tcPr>
          <w:p w14:paraId="0E92AB91"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65,486</w:t>
            </w:r>
          </w:p>
        </w:tc>
        <w:tc>
          <w:tcPr>
            <w:tcW w:w="1979" w:type="dxa"/>
            <w:tcBorders>
              <w:top w:val="single" w:sz="4" w:space="0" w:color="9BC2E6"/>
              <w:left w:val="nil"/>
              <w:bottom w:val="single" w:sz="4" w:space="0" w:color="9BC2E6"/>
              <w:right w:val="single" w:sz="4" w:space="0" w:color="9BC2E6"/>
            </w:tcBorders>
            <w:shd w:val="clear" w:color="DDEBF7" w:fill="DDEBF7"/>
            <w:noWrap/>
            <w:vAlign w:val="bottom"/>
            <w:hideMark/>
          </w:tcPr>
          <w:p w14:paraId="2BCC813D" w14:textId="77777777" w:rsidR="000433EE" w:rsidRPr="000433EE" w:rsidRDefault="000433EE" w:rsidP="000433EE">
            <w:pPr>
              <w:spacing w:after="0" w:line="240" w:lineRule="auto"/>
              <w:jc w:val="right"/>
              <w:rPr>
                <w:rFonts w:ascii="Calibri" w:eastAsia="Times New Roman" w:hAnsi="Calibri" w:cs="Times New Roman"/>
                <w:color w:val="000000"/>
              </w:rPr>
            </w:pPr>
            <w:r w:rsidRPr="000433EE">
              <w:rPr>
                <w:rFonts w:ascii="Calibri" w:eastAsia="Times New Roman" w:hAnsi="Calibri" w:cs="Times New Roman"/>
                <w:color w:val="000000"/>
              </w:rPr>
              <w:t>45,840</w:t>
            </w:r>
          </w:p>
        </w:tc>
      </w:tr>
    </w:tbl>
    <w:p w14:paraId="40DC5305" w14:textId="77777777" w:rsidR="006706FA" w:rsidRDefault="006706FA" w:rsidP="000433EE">
      <w:pPr>
        <w:autoSpaceDE w:val="0"/>
        <w:autoSpaceDN w:val="0"/>
        <w:adjustRightInd w:val="0"/>
        <w:spacing w:after="0" w:line="240" w:lineRule="auto"/>
        <w:rPr>
          <w:rFonts w:eastAsia="Times New Roman" w:cs="Times New Roman"/>
          <w:sz w:val="24"/>
          <w:szCs w:val="24"/>
        </w:rPr>
      </w:pPr>
    </w:p>
    <w:p w14:paraId="530266E1" w14:textId="0B07AF4A" w:rsidR="000433EE" w:rsidRDefault="000433EE" w:rsidP="000433EE">
      <w:p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Poverty Guideline: For families/households with more than 8 persons, add $4,320 for each additional person. </w:t>
      </w:r>
    </w:p>
    <w:p w14:paraId="74C26463" w14:textId="77777777" w:rsidR="006706FA" w:rsidRDefault="006706FA" w:rsidP="000433EE">
      <w:pPr>
        <w:autoSpaceDE w:val="0"/>
        <w:autoSpaceDN w:val="0"/>
        <w:adjustRightInd w:val="0"/>
        <w:spacing w:after="0" w:line="240" w:lineRule="auto"/>
        <w:rPr>
          <w:rFonts w:eastAsia="Times New Roman" w:cs="Times New Roman"/>
          <w:sz w:val="24"/>
          <w:szCs w:val="24"/>
        </w:rPr>
      </w:pPr>
    </w:p>
    <w:p w14:paraId="1E31A520" w14:textId="1D3426D4" w:rsidR="000433EE" w:rsidRDefault="000433EE" w:rsidP="000433EE">
      <w:p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LLSIL: For families with more than 8 persons, add $7,356 for each addition person. </w:t>
      </w:r>
    </w:p>
    <w:p w14:paraId="719878DD" w14:textId="77777777" w:rsidR="000433EE" w:rsidRDefault="000433EE" w:rsidP="000433EE">
      <w:p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The lower income level is used for determining weekly payment level. </w:t>
      </w:r>
    </w:p>
    <w:p w14:paraId="0161B7FD" w14:textId="55A72AF6" w:rsidR="000433EE" w:rsidRPr="000433EE" w:rsidRDefault="000433EE" w:rsidP="000433EE">
      <w:pPr>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Example: A family size of </w:t>
      </w:r>
      <w:r w:rsidR="00EF32F0">
        <w:rPr>
          <w:rFonts w:eastAsia="Times New Roman" w:cs="Times New Roman"/>
          <w:sz w:val="24"/>
          <w:szCs w:val="24"/>
        </w:rPr>
        <w:t xml:space="preserve">1 </w:t>
      </w:r>
      <w:r>
        <w:rPr>
          <w:rFonts w:eastAsia="Times New Roman" w:cs="Times New Roman"/>
          <w:sz w:val="24"/>
          <w:szCs w:val="24"/>
        </w:rPr>
        <w:t xml:space="preserve">would receive $178/ week for a maximum of eight weeks. </w:t>
      </w:r>
      <w:r w:rsidR="00EF32F0">
        <w:rPr>
          <w:rFonts w:eastAsia="Times New Roman" w:cs="Times New Roman"/>
          <w:sz w:val="24"/>
          <w:szCs w:val="24"/>
        </w:rPr>
        <w:t>($9,278/52 weeks = $178.42)</w:t>
      </w:r>
    </w:p>
    <w:p w14:paraId="1CDC2893" w14:textId="77777777" w:rsidR="001056AC" w:rsidRPr="001056AC" w:rsidRDefault="001056AC" w:rsidP="001056AC">
      <w:pPr>
        <w:pStyle w:val="Style11"/>
        <w:spacing w:before="0" w:after="0"/>
        <w:jc w:val="both"/>
        <w:rPr>
          <w:rFonts w:ascii="Times New Roman" w:eastAsia="+mn-ea" w:hAnsi="Times New Roman" w:cs="Times New Roman"/>
          <w:b/>
          <w:color w:val="BB1F53"/>
          <w:kern w:val="24"/>
          <w:sz w:val="24"/>
          <w:szCs w:val="24"/>
        </w:rPr>
      </w:pPr>
    </w:p>
    <w:p w14:paraId="450D43B4" w14:textId="77777777" w:rsidR="00045ECF" w:rsidRPr="00CB635D" w:rsidRDefault="0014186A" w:rsidP="00CB635D">
      <w:pPr>
        <w:pStyle w:val="Style11"/>
        <w:spacing w:before="0" w:after="0"/>
        <w:jc w:val="both"/>
        <w:rPr>
          <w:rFonts w:ascii="Times New Roman" w:eastAsia="+mn-ea" w:hAnsi="Times New Roman" w:cs="Times New Roman"/>
          <w:kern w:val="24"/>
          <w:sz w:val="24"/>
          <w:szCs w:val="24"/>
        </w:rPr>
      </w:pPr>
      <w:r w:rsidRPr="00C94BE7">
        <w:rPr>
          <w:rFonts w:ascii="Times New Roman" w:eastAsia="+mn-ea" w:hAnsi="Times New Roman" w:cs="Times New Roman"/>
          <w:b/>
          <w:kern w:val="24"/>
          <w:sz w:val="24"/>
          <w:szCs w:val="24"/>
        </w:rPr>
        <w:t>Maximum limit:</w:t>
      </w:r>
      <w:r>
        <w:rPr>
          <w:rFonts w:ascii="Times New Roman" w:eastAsia="+mn-ea" w:hAnsi="Times New Roman" w:cs="Times New Roman"/>
          <w:kern w:val="24"/>
          <w:sz w:val="24"/>
          <w:szCs w:val="24"/>
        </w:rPr>
        <w:t xml:space="preserve"> Needs-related payments limit per </w:t>
      </w:r>
      <w:r w:rsidRPr="00FA6646">
        <w:rPr>
          <w:rFonts w:ascii="Times New Roman" w:eastAsia="+mn-ea" w:hAnsi="Times New Roman" w:cs="Times New Roman"/>
          <w:kern w:val="24"/>
          <w:sz w:val="24"/>
          <w:szCs w:val="24"/>
        </w:rPr>
        <w:t xml:space="preserve">participant is </w:t>
      </w:r>
      <w:r w:rsidR="001B60C8">
        <w:rPr>
          <w:rFonts w:ascii="Times New Roman" w:eastAsia="+mn-ea" w:hAnsi="Times New Roman" w:cs="Times New Roman"/>
          <w:kern w:val="24"/>
          <w:sz w:val="24"/>
          <w:szCs w:val="24"/>
        </w:rPr>
        <w:t>the maximum weekly unemployment compensation benefit amount times eight</w:t>
      </w:r>
      <w:r w:rsidR="00403ED0">
        <w:rPr>
          <w:rFonts w:ascii="Times New Roman" w:eastAsia="+mn-ea" w:hAnsi="Times New Roman" w:cs="Times New Roman"/>
          <w:kern w:val="24"/>
          <w:sz w:val="24"/>
          <w:szCs w:val="24"/>
        </w:rPr>
        <w:t xml:space="preserve"> and can be received for a maximum of eight weeks. </w:t>
      </w:r>
      <w:r w:rsidR="001B60C8">
        <w:rPr>
          <w:rFonts w:ascii="Times New Roman" w:eastAsia="+mn-ea" w:hAnsi="Times New Roman" w:cs="Times New Roman"/>
          <w:kern w:val="24"/>
          <w:sz w:val="24"/>
          <w:szCs w:val="24"/>
        </w:rPr>
        <w:t xml:space="preserve">(Example: $414*8= $3312) </w:t>
      </w:r>
      <w:r w:rsidRPr="00C94BE7">
        <w:rPr>
          <w:rFonts w:ascii="Times New Roman" w:hAnsi="Times New Roman" w:cs="Times New Roman"/>
          <w:sz w:val="24"/>
          <w:szCs w:val="24"/>
        </w:rPr>
        <w:t>This is not a minimum or flat funded amount, rather the amount of support</w:t>
      </w:r>
      <w:r w:rsidR="002B3924">
        <w:rPr>
          <w:rFonts w:ascii="Times New Roman" w:hAnsi="Times New Roman" w:cs="Times New Roman"/>
          <w:sz w:val="24"/>
          <w:szCs w:val="24"/>
        </w:rPr>
        <w:t>ive</w:t>
      </w:r>
      <w:r w:rsidRPr="00C94BE7">
        <w:rPr>
          <w:rFonts w:ascii="Times New Roman" w:hAnsi="Times New Roman" w:cs="Times New Roman"/>
          <w:sz w:val="24"/>
          <w:szCs w:val="24"/>
        </w:rPr>
        <w:t xml:space="preserve"> services used are based on individual need.</w:t>
      </w:r>
    </w:p>
    <w:p w14:paraId="28EB2D7E" w14:textId="77777777" w:rsidR="0082622F" w:rsidRPr="00B13F81" w:rsidRDefault="0082622F" w:rsidP="0082622F">
      <w:pPr>
        <w:autoSpaceDE w:val="0"/>
        <w:autoSpaceDN w:val="0"/>
        <w:adjustRightInd w:val="0"/>
        <w:spacing w:after="0" w:line="240" w:lineRule="auto"/>
        <w:rPr>
          <w:rFonts w:cs="Times New Roman"/>
          <w:color w:val="BB1F53"/>
          <w:sz w:val="24"/>
          <w:szCs w:val="24"/>
        </w:rPr>
      </w:pPr>
    </w:p>
    <w:p w14:paraId="613CF584" w14:textId="77777777" w:rsidR="005D78CD" w:rsidRDefault="005D78CD" w:rsidP="00D16890">
      <w:pPr>
        <w:pStyle w:val="Style11"/>
        <w:spacing w:before="0" w:after="0"/>
        <w:jc w:val="both"/>
        <w:rPr>
          <w:rFonts w:ascii="Times New Roman" w:eastAsia="+mn-ea" w:hAnsi="Times New Roman" w:cs="Times New Roman"/>
          <w:b/>
          <w:color w:val="BB1F53"/>
          <w:kern w:val="24"/>
          <w:sz w:val="24"/>
          <w:szCs w:val="24"/>
        </w:rPr>
      </w:pPr>
      <w:r>
        <w:rPr>
          <w:rFonts w:ascii="Times New Roman" w:eastAsia="+mn-ea" w:hAnsi="Times New Roman" w:cs="Times New Roman"/>
          <w:b/>
          <w:color w:val="BB1F53"/>
          <w:kern w:val="24"/>
          <w:sz w:val="24"/>
          <w:szCs w:val="24"/>
        </w:rPr>
        <w:t>Maximum Payment</w:t>
      </w:r>
    </w:p>
    <w:p w14:paraId="7AA3B260" w14:textId="77777777" w:rsidR="00D16890" w:rsidRPr="00B13F81" w:rsidRDefault="005D78CD" w:rsidP="00D16890">
      <w:pPr>
        <w:pStyle w:val="Style11"/>
        <w:spacing w:before="0" w:after="0"/>
        <w:jc w:val="both"/>
        <w:rPr>
          <w:rFonts w:ascii="Times New Roman" w:eastAsia="+mn-ea" w:hAnsi="Times New Roman" w:cs="Times New Roman"/>
          <w:b/>
          <w:color w:val="BB1F53"/>
          <w:kern w:val="24"/>
          <w:sz w:val="24"/>
          <w:szCs w:val="24"/>
        </w:rPr>
      </w:pPr>
      <w:r>
        <w:rPr>
          <w:rFonts w:ascii="Times New Roman" w:eastAsia="+mn-ea" w:hAnsi="Times New Roman" w:cs="Times New Roman"/>
          <w:kern w:val="24"/>
          <w:sz w:val="24"/>
          <w:szCs w:val="24"/>
        </w:rPr>
        <w:t>Support</w:t>
      </w:r>
      <w:r w:rsidR="002B3924">
        <w:rPr>
          <w:rFonts w:ascii="Times New Roman" w:eastAsia="+mn-ea" w:hAnsi="Times New Roman" w:cs="Times New Roman"/>
          <w:kern w:val="24"/>
          <w:sz w:val="24"/>
          <w:szCs w:val="24"/>
        </w:rPr>
        <w:t>ive</w:t>
      </w:r>
      <w:r>
        <w:rPr>
          <w:rFonts w:ascii="Times New Roman" w:eastAsia="+mn-ea" w:hAnsi="Times New Roman" w:cs="Times New Roman"/>
          <w:kern w:val="24"/>
          <w:sz w:val="24"/>
          <w:szCs w:val="24"/>
        </w:rPr>
        <w:t xml:space="preserve"> services cannot exceed $4000 for the participant’s entire duration in the program and must follow the maximum payment limits set for specific services. </w:t>
      </w:r>
      <w:r w:rsidR="00403ED0">
        <w:rPr>
          <w:rFonts w:ascii="Times New Roman" w:eastAsia="+mn-ea" w:hAnsi="Times New Roman" w:cs="Times New Roman"/>
          <w:kern w:val="24"/>
          <w:sz w:val="24"/>
          <w:szCs w:val="24"/>
        </w:rPr>
        <w:t xml:space="preserve">Needs-related payments do not count towards the supportive service maximum and are in addition to life time limits. </w:t>
      </w:r>
      <w:r>
        <w:rPr>
          <w:rFonts w:ascii="Times New Roman" w:eastAsia="+mn-ea" w:hAnsi="Times New Roman" w:cs="Times New Roman"/>
          <w:kern w:val="24"/>
          <w:sz w:val="24"/>
          <w:szCs w:val="24"/>
        </w:rPr>
        <w:t>Support</w:t>
      </w:r>
      <w:r w:rsidR="002B3924">
        <w:rPr>
          <w:rFonts w:ascii="Times New Roman" w:eastAsia="+mn-ea" w:hAnsi="Times New Roman" w:cs="Times New Roman"/>
          <w:kern w:val="24"/>
          <w:sz w:val="24"/>
          <w:szCs w:val="24"/>
        </w:rPr>
        <w:t>ive</w:t>
      </w:r>
      <w:r>
        <w:rPr>
          <w:rFonts w:ascii="Times New Roman" w:eastAsia="+mn-ea" w:hAnsi="Times New Roman" w:cs="Times New Roman"/>
          <w:kern w:val="24"/>
          <w:sz w:val="24"/>
          <w:szCs w:val="24"/>
        </w:rPr>
        <w:t xml:space="preserve"> service costs are excluded as a part of the training costs. </w:t>
      </w:r>
      <w:r w:rsidR="00D16890" w:rsidRPr="00B13F81">
        <w:rPr>
          <w:rFonts w:ascii="Times New Roman" w:eastAsia="+mn-ea" w:hAnsi="Times New Roman" w:cs="Times New Roman"/>
          <w:b/>
          <w:color w:val="BB1F53"/>
          <w:kern w:val="24"/>
          <w:sz w:val="24"/>
          <w:szCs w:val="24"/>
        </w:rPr>
        <w:t xml:space="preserve"> </w:t>
      </w:r>
    </w:p>
    <w:p w14:paraId="01DAE753" w14:textId="77777777" w:rsidR="00406EB8" w:rsidRDefault="00406EB8" w:rsidP="00D16890">
      <w:pPr>
        <w:spacing w:after="0" w:line="240" w:lineRule="auto"/>
        <w:rPr>
          <w:rFonts w:eastAsia="+mn-ea" w:cs="Times New Roman"/>
          <w:b/>
          <w:bCs/>
          <w:color w:val="BB1F53"/>
          <w:kern w:val="24"/>
          <w:sz w:val="24"/>
          <w:szCs w:val="24"/>
        </w:rPr>
      </w:pPr>
    </w:p>
    <w:p w14:paraId="752A46AA" w14:textId="3DF1D73C" w:rsidR="005D78CD" w:rsidRDefault="005D78CD" w:rsidP="00D16890">
      <w:pPr>
        <w:spacing w:after="0" w:line="240" w:lineRule="auto"/>
        <w:rPr>
          <w:rFonts w:eastAsia="+mn-ea" w:cs="Times New Roman"/>
          <w:b/>
          <w:bCs/>
          <w:color w:val="BB1F53"/>
          <w:kern w:val="24"/>
          <w:sz w:val="24"/>
          <w:szCs w:val="24"/>
        </w:rPr>
      </w:pPr>
      <w:r>
        <w:rPr>
          <w:rFonts w:eastAsia="+mn-ea" w:cs="Times New Roman"/>
          <w:b/>
          <w:bCs/>
          <w:color w:val="BB1F53"/>
          <w:kern w:val="24"/>
          <w:sz w:val="24"/>
          <w:szCs w:val="24"/>
        </w:rPr>
        <w:t xml:space="preserve">Documentation </w:t>
      </w:r>
    </w:p>
    <w:p w14:paraId="71E5EB8E" w14:textId="77777777" w:rsidR="00B10132" w:rsidRDefault="00B10132" w:rsidP="00B10132">
      <w:pPr>
        <w:spacing w:after="0" w:line="240" w:lineRule="auto"/>
        <w:rPr>
          <w:rFonts w:cs="Times New Roman"/>
          <w:sz w:val="24"/>
          <w:szCs w:val="24"/>
        </w:rPr>
      </w:pPr>
      <w:r>
        <w:rPr>
          <w:rFonts w:cs="Times New Roman"/>
          <w:sz w:val="24"/>
          <w:szCs w:val="24"/>
        </w:rPr>
        <w:t>The participant need, necessity of the support</w:t>
      </w:r>
      <w:r w:rsidR="002B3924">
        <w:rPr>
          <w:rFonts w:cs="Times New Roman"/>
          <w:sz w:val="24"/>
          <w:szCs w:val="24"/>
        </w:rPr>
        <w:t>ive</w:t>
      </w:r>
      <w:r>
        <w:rPr>
          <w:rFonts w:cs="Times New Roman"/>
          <w:sz w:val="24"/>
          <w:szCs w:val="24"/>
        </w:rPr>
        <w:t xml:space="preserve"> service, and lack of similar services available in the community must be documented in a case note and be </w:t>
      </w:r>
      <w:r w:rsidR="00457EDB">
        <w:rPr>
          <w:rFonts w:cs="Times New Roman"/>
          <w:sz w:val="24"/>
          <w:szCs w:val="24"/>
        </w:rPr>
        <w:t>included in the IEP or ISS. A NE</w:t>
      </w:r>
      <w:r>
        <w:rPr>
          <w:rFonts w:cs="Times New Roman"/>
          <w:sz w:val="24"/>
          <w:szCs w:val="24"/>
        </w:rPr>
        <w:t>works activity must also be opened.</w:t>
      </w:r>
    </w:p>
    <w:p w14:paraId="1C8A93E9" w14:textId="77777777" w:rsidR="00B10132" w:rsidRDefault="00B10132" w:rsidP="00B10132">
      <w:pPr>
        <w:spacing w:after="0" w:line="240" w:lineRule="auto"/>
        <w:rPr>
          <w:rFonts w:cs="Times New Roman"/>
          <w:sz w:val="24"/>
          <w:szCs w:val="24"/>
        </w:rPr>
      </w:pPr>
      <w:r>
        <w:rPr>
          <w:rFonts w:cs="Times New Roman"/>
          <w:sz w:val="24"/>
          <w:szCs w:val="24"/>
        </w:rPr>
        <w:t xml:space="preserve"> </w:t>
      </w:r>
    </w:p>
    <w:p w14:paraId="0B5905B9" w14:textId="77777777" w:rsidR="005D78CD" w:rsidRDefault="00B10132" w:rsidP="00B10132">
      <w:pPr>
        <w:spacing w:after="0" w:line="240" w:lineRule="auto"/>
        <w:rPr>
          <w:rFonts w:cs="Times New Roman"/>
          <w:sz w:val="24"/>
          <w:szCs w:val="24"/>
        </w:rPr>
      </w:pPr>
      <w:r>
        <w:rPr>
          <w:rFonts w:cs="Times New Roman"/>
          <w:sz w:val="24"/>
          <w:szCs w:val="24"/>
        </w:rPr>
        <w:t>When multiple options are available for receiving supportive services, documentation must show that a reasonable effort was made to determine the lowest competitive cost available was chosen. Example: Receiving at least two separate quote</w:t>
      </w:r>
      <w:r w:rsidR="002B3924">
        <w:rPr>
          <w:rFonts w:cs="Times New Roman"/>
          <w:sz w:val="24"/>
          <w:szCs w:val="24"/>
        </w:rPr>
        <w:t>s</w:t>
      </w:r>
      <w:r>
        <w:rPr>
          <w:rFonts w:cs="Times New Roman"/>
          <w:sz w:val="24"/>
          <w:szCs w:val="24"/>
        </w:rPr>
        <w:t xml:space="preserve"> for vehicle repairs. </w:t>
      </w:r>
    </w:p>
    <w:p w14:paraId="713D46E5" w14:textId="77777777" w:rsidR="00B10132" w:rsidRPr="005D78CD" w:rsidRDefault="00B10132" w:rsidP="00B10132">
      <w:pPr>
        <w:spacing w:after="0" w:line="240" w:lineRule="auto"/>
        <w:rPr>
          <w:rFonts w:eastAsia="+mn-ea" w:cs="Times New Roman"/>
          <w:bCs/>
          <w:kern w:val="24"/>
          <w:sz w:val="24"/>
          <w:szCs w:val="24"/>
        </w:rPr>
      </w:pPr>
    </w:p>
    <w:p w14:paraId="56D5C457" w14:textId="77777777" w:rsidR="00685C25" w:rsidRPr="00B13F81" w:rsidRDefault="00685C25" w:rsidP="00685C25">
      <w:pPr>
        <w:spacing w:after="0" w:line="240" w:lineRule="auto"/>
        <w:rPr>
          <w:rFonts w:eastAsia="+mn-ea" w:cs="Times New Roman"/>
          <w:b/>
          <w:bCs/>
          <w:color w:val="BB1F53"/>
          <w:kern w:val="24"/>
          <w:sz w:val="24"/>
          <w:szCs w:val="24"/>
        </w:rPr>
      </w:pPr>
      <w:r w:rsidRPr="00B13F81">
        <w:rPr>
          <w:rFonts w:eastAsia="+mn-ea" w:cs="Times New Roman"/>
          <w:b/>
          <w:bCs/>
          <w:color w:val="BB1F53"/>
          <w:kern w:val="24"/>
          <w:sz w:val="24"/>
          <w:szCs w:val="24"/>
        </w:rPr>
        <w:t>Disclaimer</w:t>
      </w:r>
    </w:p>
    <w:p w14:paraId="61DA0EE7" w14:textId="77777777" w:rsidR="00685C25" w:rsidRPr="005B3B52" w:rsidRDefault="00685C25" w:rsidP="00685C25">
      <w:pPr>
        <w:spacing w:after="0" w:line="240" w:lineRule="auto"/>
        <w:jc w:val="both"/>
        <w:rPr>
          <w:rFonts w:eastAsia="Times New Roman" w:cs="Times New Roman"/>
          <w:sz w:val="24"/>
          <w:szCs w:val="24"/>
        </w:rPr>
      </w:pPr>
      <w:r w:rsidRPr="005B3B52">
        <w:rPr>
          <w:rFonts w:eastAsia="Times New Roman" w:cs="Times New Roman"/>
          <w:sz w:val="24"/>
          <w:szCs w:val="24"/>
        </w:rPr>
        <w:t>This policy is based on Greater Nebraska’s reading of the applicable statutes, regulations, rules and guidance released by the U.S. Government and the State of Nebraska.  This policy is subject to change as revised or additional statutes, regulations, rules and guidance are issued.</w:t>
      </w:r>
    </w:p>
    <w:sectPr w:rsidR="00685C25" w:rsidRPr="005B3B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4D4A4" w14:textId="77777777" w:rsidR="000F2A2C" w:rsidRDefault="000F2A2C" w:rsidP="00E54BD1">
      <w:pPr>
        <w:spacing w:after="0" w:line="240" w:lineRule="auto"/>
      </w:pPr>
      <w:r>
        <w:separator/>
      </w:r>
    </w:p>
  </w:endnote>
  <w:endnote w:type="continuationSeparator" w:id="0">
    <w:p w14:paraId="7C811424" w14:textId="77777777" w:rsidR="000F2A2C" w:rsidRDefault="000F2A2C" w:rsidP="00E5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0107"/>
      <w:docPartObj>
        <w:docPartGallery w:val="Page Numbers (Bottom of Page)"/>
        <w:docPartUnique/>
      </w:docPartObj>
    </w:sdtPr>
    <w:sdtEndPr/>
    <w:sdtContent>
      <w:sdt>
        <w:sdtPr>
          <w:id w:val="-1769616900"/>
          <w:docPartObj>
            <w:docPartGallery w:val="Page Numbers (Top of Page)"/>
            <w:docPartUnique/>
          </w:docPartObj>
        </w:sdtPr>
        <w:sdtEndPr/>
        <w:sdtContent>
          <w:p w14:paraId="56EB20AA" w14:textId="7216484E" w:rsidR="009D2F91" w:rsidRDefault="009D2F91">
            <w:pPr>
              <w:pStyle w:val="Footer"/>
              <w:jc w:val="right"/>
            </w:pPr>
            <w:r w:rsidRPr="009D2F91">
              <w:rPr>
                <w:sz w:val="20"/>
                <w:szCs w:val="20"/>
              </w:rPr>
              <w:t xml:space="preserve">Page </w:t>
            </w:r>
            <w:r w:rsidRPr="009D2F91">
              <w:rPr>
                <w:b/>
                <w:bCs/>
                <w:sz w:val="20"/>
                <w:szCs w:val="20"/>
              </w:rPr>
              <w:fldChar w:fldCharType="begin"/>
            </w:r>
            <w:r w:rsidRPr="009D2F91">
              <w:rPr>
                <w:b/>
                <w:bCs/>
                <w:sz w:val="20"/>
                <w:szCs w:val="20"/>
              </w:rPr>
              <w:instrText xml:space="preserve"> PAGE </w:instrText>
            </w:r>
            <w:r w:rsidRPr="009D2F91">
              <w:rPr>
                <w:b/>
                <w:bCs/>
                <w:sz w:val="20"/>
                <w:szCs w:val="20"/>
              </w:rPr>
              <w:fldChar w:fldCharType="separate"/>
            </w:r>
            <w:r w:rsidR="00C42D5C">
              <w:rPr>
                <w:b/>
                <w:bCs/>
                <w:noProof/>
                <w:sz w:val="20"/>
                <w:szCs w:val="20"/>
              </w:rPr>
              <w:t>4</w:t>
            </w:r>
            <w:r w:rsidRPr="009D2F91">
              <w:rPr>
                <w:b/>
                <w:bCs/>
                <w:sz w:val="20"/>
                <w:szCs w:val="20"/>
              </w:rPr>
              <w:fldChar w:fldCharType="end"/>
            </w:r>
            <w:r w:rsidRPr="009D2F91">
              <w:rPr>
                <w:sz w:val="20"/>
                <w:szCs w:val="20"/>
              </w:rPr>
              <w:t xml:space="preserve"> of </w:t>
            </w:r>
            <w:r w:rsidRPr="009D2F91">
              <w:rPr>
                <w:b/>
                <w:bCs/>
                <w:sz w:val="20"/>
                <w:szCs w:val="20"/>
              </w:rPr>
              <w:fldChar w:fldCharType="begin"/>
            </w:r>
            <w:r w:rsidRPr="009D2F91">
              <w:rPr>
                <w:b/>
                <w:bCs/>
                <w:sz w:val="20"/>
                <w:szCs w:val="20"/>
              </w:rPr>
              <w:instrText xml:space="preserve"> NUMPAGES  </w:instrText>
            </w:r>
            <w:r w:rsidRPr="009D2F91">
              <w:rPr>
                <w:b/>
                <w:bCs/>
                <w:sz w:val="20"/>
                <w:szCs w:val="20"/>
              </w:rPr>
              <w:fldChar w:fldCharType="separate"/>
            </w:r>
            <w:r w:rsidR="00C42D5C">
              <w:rPr>
                <w:b/>
                <w:bCs/>
                <w:noProof/>
                <w:sz w:val="20"/>
                <w:szCs w:val="20"/>
              </w:rPr>
              <w:t>6</w:t>
            </w:r>
            <w:r w:rsidRPr="009D2F91">
              <w:rPr>
                <w:b/>
                <w:bCs/>
                <w:sz w:val="20"/>
                <w:szCs w:val="20"/>
              </w:rPr>
              <w:fldChar w:fldCharType="end"/>
            </w:r>
          </w:p>
        </w:sdtContent>
      </w:sdt>
    </w:sdtContent>
  </w:sdt>
  <w:p w14:paraId="1551105F" w14:textId="77777777" w:rsidR="009D2F91" w:rsidRDefault="00657831">
    <w:pPr>
      <w:pStyle w:val="Footer"/>
    </w:pPr>
    <w:r>
      <w:rPr>
        <w:noProof/>
        <w:color w:val="1F497D"/>
      </w:rPr>
      <w:drawing>
        <wp:anchor distT="0" distB="0" distL="114300" distR="114300" simplePos="0" relativeHeight="251661312" behindDoc="1" locked="0" layoutInCell="1" allowOverlap="1" wp14:anchorId="109431BA" wp14:editId="20445D80">
          <wp:simplePos x="0" y="0"/>
          <wp:positionH relativeFrom="margin">
            <wp:posOffset>0</wp:posOffset>
          </wp:positionH>
          <wp:positionV relativeFrom="paragraph">
            <wp:posOffset>0</wp:posOffset>
          </wp:positionV>
          <wp:extent cx="3724275" cy="228600"/>
          <wp:effectExtent l="0" t="0" r="9525" b="0"/>
          <wp:wrapNone/>
          <wp:docPr id="3" name="Picture 3" descr="AJC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C Tag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228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A7475" w14:textId="77777777" w:rsidR="000F2A2C" w:rsidRDefault="000F2A2C" w:rsidP="00E54BD1">
      <w:pPr>
        <w:spacing w:after="0" w:line="240" w:lineRule="auto"/>
      </w:pPr>
      <w:r>
        <w:separator/>
      </w:r>
    </w:p>
  </w:footnote>
  <w:footnote w:type="continuationSeparator" w:id="0">
    <w:p w14:paraId="5A1E2582" w14:textId="77777777" w:rsidR="000F2A2C" w:rsidRDefault="000F2A2C" w:rsidP="00E5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092F" w14:textId="77777777" w:rsidR="00E54BD1" w:rsidRDefault="00E81451">
    <w:pPr>
      <w:pStyle w:val="Header"/>
    </w:pPr>
    <w:r w:rsidRPr="00864E12">
      <w:rPr>
        <w:rFonts w:ascii="Arial" w:hAnsi="Arial" w:cs="Arial"/>
        <w:noProof/>
        <w:sz w:val="24"/>
      </w:rPr>
      <w:drawing>
        <wp:anchor distT="0" distB="0" distL="114300" distR="114300" simplePos="0" relativeHeight="251659264" behindDoc="1" locked="0" layoutInCell="1" allowOverlap="1" wp14:anchorId="64A4D373" wp14:editId="2250CB4E">
          <wp:simplePos x="0" y="0"/>
          <wp:positionH relativeFrom="margin">
            <wp:align>center</wp:align>
          </wp:positionH>
          <wp:positionV relativeFrom="paragraph">
            <wp:posOffset>-457200</wp:posOffset>
          </wp:positionV>
          <wp:extent cx="5319227"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19227" cy="1276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520559" w14:textId="77777777" w:rsidR="00E54BD1" w:rsidRPr="00E54BD1" w:rsidRDefault="00E54BD1" w:rsidP="00E54BD1">
    <w:pPr>
      <w:pStyle w:val="Header"/>
      <w:ind w:right="-18"/>
      <w:rPr>
        <w:rFonts w:cs="Arial"/>
        <w:b/>
      </w:rPr>
    </w:pPr>
    <w:r w:rsidRPr="00E54BD1">
      <w:rPr>
        <w:rFonts w:cs="Arial"/>
        <w:b/>
      </w:rPr>
      <w:tab/>
      <w:t xml:space="preserve">                                       </w:t>
    </w:r>
  </w:p>
  <w:p w14:paraId="46A406CA" w14:textId="77777777" w:rsidR="00E81451" w:rsidRPr="0051088F" w:rsidRDefault="00E81451" w:rsidP="00E81451">
    <w:pPr>
      <w:pStyle w:val="Header"/>
      <w:jc w:val="right"/>
      <w:rPr>
        <w:rFonts w:ascii="Arial" w:hAnsi="Arial" w:cs="Arial"/>
        <w:b/>
        <w:sz w:val="14"/>
        <w:szCs w:val="14"/>
      </w:rPr>
    </w:pPr>
    <w:r w:rsidRPr="0051088F">
      <w:rPr>
        <w:rFonts w:ascii="Arial" w:hAnsi="Arial" w:cs="Arial"/>
        <w:b/>
        <w:sz w:val="14"/>
        <w:szCs w:val="14"/>
      </w:rPr>
      <w:t>Lisa Wilson</w:t>
    </w:r>
    <w:r w:rsidRPr="0051088F">
      <w:rPr>
        <w:rFonts w:ascii="Arial" w:hAnsi="Arial" w:cs="Arial"/>
        <w:b/>
        <w:sz w:val="14"/>
        <w:szCs w:val="14"/>
      </w:rPr>
      <w:tab/>
    </w:r>
    <w:r w:rsidRPr="0051088F">
      <w:rPr>
        <w:rFonts w:ascii="Arial" w:hAnsi="Arial" w:cs="Arial"/>
        <w:b/>
        <w:sz w:val="14"/>
        <w:szCs w:val="14"/>
      </w:rPr>
      <w:tab/>
    </w:r>
    <w:r w:rsidRPr="0051088F">
      <w:rPr>
        <w:rFonts w:ascii="Arial" w:hAnsi="Arial" w:cs="Arial"/>
        <w:sz w:val="14"/>
        <w:szCs w:val="14"/>
      </w:rPr>
      <w:t xml:space="preserve">  </w:t>
    </w:r>
    <w:r w:rsidRPr="0051088F">
      <w:rPr>
        <w:rFonts w:ascii="Arial" w:hAnsi="Arial" w:cs="Arial"/>
        <w:b/>
        <w:sz w:val="14"/>
        <w:szCs w:val="14"/>
      </w:rPr>
      <w:t xml:space="preserve">  Pamela Lancaster                                                                                                                                     Chair </w:t>
    </w:r>
    <w:r w:rsidRPr="0051088F">
      <w:rPr>
        <w:rFonts w:ascii="Arial" w:hAnsi="Arial" w:cs="Arial"/>
        <w:b/>
        <w:sz w:val="14"/>
        <w:szCs w:val="14"/>
      </w:rPr>
      <w:tab/>
    </w:r>
    <w:r w:rsidRPr="0051088F">
      <w:rPr>
        <w:rFonts w:ascii="Arial" w:hAnsi="Arial" w:cs="Arial"/>
        <w:b/>
        <w:sz w:val="14"/>
        <w:szCs w:val="14"/>
      </w:rPr>
      <w:tab/>
      <w:t>CEOB Chair</w:t>
    </w:r>
    <w:r w:rsidRPr="0051088F">
      <w:rPr>
        <w:rFonts w:ascii="Arial" w:hAnsi="Arial" w:cs="Arial"/>
        <w:sz w:val="14"/>
        <w:szCs w:val="14"/>
      </w:rPr>
      <w:t xml:space="preserve"> </w:t>
    </w:r>
  </w:p>
  <w:p w14:paraId="1DA55CF6" w14:textId="77777777" w:rsidR="00685C25" w:rsidRDefault="00685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3D"/>
    <w:multiLevelType w:val="hybridMultilevel"/>
    <w:tmpl w:val="A238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1B5E"/>
    <w:multiLevelType w:val="hybridMultilevel"/>
    <w:tmpl w:val="E2CE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32D32"/>
    <w:multiLevelType w:val="hybridMultilevel"/>
    <w:tmpl w:val="799CEC4C"/>
    <w:lvl w:ilvl="0" w:tplc="4F084D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651"/>
    <w:multiLevelType w:val="hybridMultilevel"/>
    <w:tmpl w:val="574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F25E0"/>
    <w:multiLevelType w:val="hybridMultilevel"/>
    <w:tmpl w:val="3F46C164"/>
    <w:lvl w:ilvl="0" w:tplc="4DE00CA4">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448DC"/>
    <w:multiLevelType w:val="hybridMultilevel"/>
    <w:tmpl w:val="AFB6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B36B9"/>
    <w:multiLevelType w:val="hybridMultilevel"/>
    <w:tmpl w:val="0CB02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032C04"/>
    <w:multiLevelType w:val="hybridMultilevel"/>
    <w:tmpl w:val="D84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87E42"/>
    <w:multiLevelType w:val="hybridMultilevel"/>
    <w:tmpl w:val="DE2C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F48E7"/>
    <w:multiLevelType w:val="hybridMultilevel"/>
    <w:tmpl w:val="2B74890C"/>
    <w:lvl w:ilvl="0" w:tplc="08A610C8">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252A18"/>
    <w:multiLevelType w:val="hybridMultilevel"/>
    <w:tmpl w:val="0E30B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5517CA"/>
    <w:multiLevelType w:val="hybridMultilevel"/>
    <w:tmpl w:val="2CCCF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74EA3"/>
    <w:multiLevelType w:val="hybridMultilevel"/>
    <w:tmpl w:val="9D4AC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26A37"/>
    <w:multiLevelType w:val="hybridMultilevel"/>
    <w:tmpl w:val="321CC35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F650F71"/>
    <w:multiLevelType w:val="hybridMultilevel"/>
    <w:tmpl w:val="0B5E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227D4"/>
    <w:multiLevelType w:val="hybridMultilevel"/>
    <w:tmpl w:val="47E0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C53825"/>
    <w:multiLevelType w:val="hybridMultilevel"/>
    <w:tmpl w:val="65E2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107B0"/>
    <w:multiLevelType w:val="hybridMultilevel"/>
    <w:tmpl w:val="43E0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D3825"/>
    <w:multiLevelType w:val="hybridMultilevel"/>
    <w:tmpl w:val="5C56E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653551"/>
    <w:multiLevelType w:val="hybridMultilevel"/>
    <w:tmpl w:val="2A2E7BEC"/>
    <w:lvl w:ilvl="0" w:tplc="04090017">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D81624"/>
    <w:multiLevelType w:val="hybridMultilevel"/>
    <w:tmpl w:val="CCBAA020"/>
    <w:lvl w:ilvl="0" w:tplc="A16AE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3A2141"/>
    <w:multiLevelType w:val="hybridMultilevel"/>
    <w:tmpl w:val="B4D620F2"/>
    <w:lvl w:ilvl="0" w:tplc="707243F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E1B64"/>
    <w:multiLevelType w:val="hybridMultilevel"/>
    <w:tmpl w:val="4CCC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F311B"/>
    <w:multiLevelType w:val="hybridMultilevel"/>
    <w:tmpl w:val="CF6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C0C38"/>
    <w:multiLevelType w:val="hybridMultilevel"/>
    <w:tmpl w:val="0A8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64862"/>
    <w:multiLevelType w:val="hybridMultilevel"/>
    <w:tmpl w:val="574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62D05"/>
    <w:multiLevelType w:val="hybridMultilevel"/>
    <w:tmpl w:val="3DCE767A"/>
    <w:lvl w:ilvl="0" w:tplc="80748394">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1180E"/>
    <w:multiLevelType w:val="hybridMultilevel"/>
    <w:tmpl w:val="32B248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B72E55"/>
    <w:multiLevelType w:val="hybridMultilevel"/>
    <w:tmpl w:val="73DE9170"/>
    <w:lvl w:ilvl="0" w:tplc="231647A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BA5FBA"/>
    <w:multiLevelType w:val="hybridMultilevel"/>
    <w:tmpl w:val="DA46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CF69CA"/>
    <w:multiLevelType w:val="hybridMultilevel"/>
    <w:tmpl w:val="84982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2344CA"/>
    <w:multiLevelType w:val="hybridMultilevel"/>
    <w:tmpl w:val="4348916C"/>
    <w:lvl w:ilvl="0" w:tplc="D5CA51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3243576"/>
    <w:multiLevelType w:val="hybridMultilevel"/>
    <w:tmpl w:val="2092C93C"/>
    <w:lvl w:ilvl="0" w:tplc="D5CA51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5675EF7"/>
    <w:multiLevelType w:val="hybridMultilevel"/>
    <w:tmpl w:val="0B308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F0A31"/>
    <w:multiLevelType w:val="hybridMultilevel"/>
    <w:tmpl w:val="16F2867C"/>
    <w:lvl w:ilvl="0" w:tplc="A6689164">
      <w:start w:val="1"/>
      <w:numFmt w:val="lowerRoman"/>
      <w:lvlText w:val="%1."/>
      <w:lvlJc w:val="left"/>
      <w:pPr>
        <w:ind w:left="1800" w:hanging="72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9B6AAB"/>
    <w:multiLevelType w:val="hybridMultilevel"/>
    <w:tmpl w:val="B0A2E5EE"/>
    <w:lvl w:ilvl="0" w:tplc="D3A274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B07163"/>
    <w:multiLevelType w:val="hybridMultilevel"/>
    <w:tmpl w:val="E11A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714D2"/>
    <w:multiLevelType w:val="hybridMultilevel"/>
    <w:tmpl w:val="EB66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932A4"/>
    <w:multiLevelType w:val="hybridMultilevel"/>
    <w:tmpl w:val="DF56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E0540"/>
    <w:multiLevelType w:val="hybridMultilevel"/>
    <w:tmpl w:val="6E567C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04F40"/>
    <w:multiLevelType w:val="hybridMultilevel"/>
    <w:tmpl w:val="3246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6551E"/>
    <w:multiLevelType w:val="hybridMultilevel"/>
    <w:tmpl w:val="8FEE0E14"/>
    <w:lvl w:ilvl="0" w:tplc="74C63D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33A2A"/>
    <w:multiLevelType w:val="hybridMultilevel"/>
    <w:tmpl w:val="5A5CCF3A"/>
    <w:lvl w:ilvl="0" w:tplc="A05C7928">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16701F"/>
    <w:multiLevelType w:val="hybridMultilevel"/>
    <w:tmpl w:val="29F85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ED2CD5"/>
    <w:multiLevelType w:val="hybridMultilevel"/>
    <w:tmpl w:val="38A4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54863"/>
    <w:multiLevelType w:val="hybridMultilevel"/>
    <w:tmpl w:val="6A42EAC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18"/>
  </w:num>
  <w:num w:numId="2">
    <w:abstractNumId w:val="41"/>
  </w:num>
  <w:num w:numId="3">
    <w:abstractNumId w:val="38"/>
  </w:num>
  <w:num w:numId="4">
    <w:abstractNumId w:val="21"/>
  </w:num>
  <w:num w:numId="5">
    <w:abstractNumId w:val="24"/>
  </w:num>
  <w:num w:numId="6">
    <w:abstractNumId w:val="5"/>
  </w:num>
  <w:num w:numId="7">
    <w:abstractNumId w:val="26"/>
  </w:num>
  <w:num w:numId="8">
    <w:abstractNumId w:val="45"/>
  </w:num>
  <w:num w:numId="9">
    <w:abstractNumId w:val="23"/>
  </w:num>
  <w:num w:numId="10">
    <w:abstractNumId w:val="7"/>
  </w:num>
  <w:num w:numId="11">
    <w:abstractNumId w:val="0"/>
  </w:num>
  <w:num w:numId="12">
    <w:abstractNumId w:val="14"/>
  </w:num>
  <w:num w:numId="13">
    <w:abstractNumId w:val="37"/>
  </w:num>
  <w:num w:numId="14">
    <w:abstractNumId w:val="29"/>
  </w:num>
  <w:num w:numId="15">
    <w:abstractNumId w:val="40"/>
  </w:num>
  <w:num w:numId="16">
    <w:abstractNumId w:val="11"/>
  </w:num>
  <w:num w:numId="17">
    <w:abstractNumId w:val="15"/>
  </w:num>
  <w:num w:numId="18">
    <w:abstractNumId w:val="6"/>
  </w:num>
  <w:num w:numId="19">
    <w:abstractNumId w:val="43"/>
  </w:num>
  <w:num w:numId="20">
    <w:abstractNumId w:val="10"/>
  </w:num>
  <w:num w:numId="21">
    <w:abstractNumId w:val="30"/>
  </w:num>
  <w:num w:numId="22">
    <w:abstractNumId w:val="27"/>
  </w:num>
  <w:num w:numId="23">
    <w:abstractNumId w:val="19"/>
  </w:num>
  <w:num w:numId="24">
    <w:abstractNumId w:val="42"/>
  </w:num>
  <w:num w:numId="25">
    <w:abstractNumId w:val="35"/>
  </w:num>
  <w:num w:numId="26">
    <w:abstractNumId w:val="2"/>
  </w:num>
  <w:num w:numId="27">
    <w:abstractNumId w:val="4"/>
  </w:num>
  <w:num w:numId="28">
    <w:abstractNumId w:val="28"/>
  </w:num>
  <w:num w:numId="29">
    <w:abstractNumId w:val="9"/>
  </w:num>
  <w:num w:numId="30">
    <w:abstractNumId w:val="34"/>
  </w:num>
  <w:num w:numId="31">
    <w:abstractNumId w:val="22"/>
  </w:num>
  <w:num w:numId="32">
    <w:abstractNumId w:val="39"/>
  </w:num>
  <w:num w:numId="33">
    <w:abstractNumId w:val="44"/>
  </w:num>
  <w:num w:numId="34">
    <w:abstractNumId w:val="16"/>
  </w:num>
  <w:num w:numId="35">
    <w:abstractNumId w:val="17"/>
  </w:num>
  <w:num w:numId="36">
    <w:abstractNumId w:val="13"/>
  </w:num>
  <w:num w:numId="37">
    <w:abstractNumId w:val="12"/>
  </w:num>
  <w:num w:numId="38">
    <w:abstractNumId w:val="33"/>
  </w:num>
  <w:num w:numId="39">
    <w:abstractNumId w:val="20"/>
  </w:num>
  <w:num w:numId="40">
    <w:abstractNumId w:val="1"/>
  </w:num>
  <w:num w:numId="41">
    <w:abstractNumId w:val="8"/>
  </w:num>
  <w:num w:numId="42">
    <w:abstractNumId w:val="36"/>
  </w:num>
  <w:num w:numId="43">
    <w:abstractNumId w:val="25"/>
  </w:num>
  <w:num w:numId="44">
    <w:abstractNumId w:val="31"/>
  </w:num>
  <w:num w:numId="45">
    <w:abstractNumId w:val="3"/>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D1"/>
    <w:rsid w:val="0000133C"/>
    <w:rsid w:val="00003CFD"/>
    <w:rsid w:val="00022F04"/>
    <w:rsid w:val="000260C6"/>
    <w:rsid w:val="000275A0"/>
    <w:rsid w:val="00042EC3"/>
    <w:rsid w:val="000433EE"/>
    <w:rsid w:val="00045ECF"/>
    <w:rsid w:val="00055320"/>
    <w:rsid w:val="00090C74"/>
    <w:rsid w:val="000969A3"/>
    <w:rsid w:val="000C4C60"/>
    <w:rsid w:val="000C6D9D"/>
    <w:rsid w:val="000D04C8"/>
    <w:rsid w:val="000D52AC"/>
    <w:rsid w:val="000F2A2C"/>
    <w:rsid w:val="001056AC"/>
    <w:rsid w:val="001071AC"/>
    <w:rsid w:val="001215D7"/>
    <w:rsid w:val="00123E96"/>
    <w:rsid w:val="00125C1A"/>
    <w:rsid w:val="00131C86"/>
    <w:rsid w:val="0014186A"/>
    <w:rsid w:val="00143EAC"/>
    <w:rsid w:val="001511F9"/>
    <w:rsid w:val="00163DD9"/>
    <w:rsid w:val="001657D1"/>
    <w:rsid w:val="00174B23"/>
    <w:rsid w:val="001812AD"/>
    <w:rsid w:val="00182598"/>
    <w:rsid w:val="00183C71"/>
    <w:rsid w:val="0018509E"/>
    <w:rsid w:val="001A19DD"/>
    <w:rsid w:val="001A6CBC"/>
    <w:rsid w:val="001B60C8"/>
    <w:rsid w:val="001D1593"/>
    <w:rsid w:val="001D3520"/>
    <w:rsid w:val="001D3870"/>
    <w:rsid w:val="00200030"/>
    <w:rsid w:val="002118AE"/>
    <w:rsid w:val="00221827"/>
    <w:rsid w:val="002220B2"/>
    <w:rsid w:val="00234311"/>
    <w:rsid w:val="00237419"/>
    <w:rsid w:val="002410E8"/>
    <w:rsid w:val="002470A1"/>
    <w:rsid w:val="00271DC0"/>
    <w:rsid w:val="00295D98"/>
    <w:rsid w:val="002B3924"/>
    <w:rsid w:val="002E0DC3"/>
    <w:rsid w:val="003226CB"/>
    <w:rsid w:val="0033787D"/>
    <w:rsid w:val="003524CC"/>
    <w:rsid w:val="0039572C"/>
    <w:rsid w:val="003B0DB5"/>
    <w:rsid w:val="003B3F46"/>
    <w:rsid w:val="003B7519"/>
    <w:rsid w:val="003C1017"/>
    <w:rsid w:val="003C7F56"/>
    <w:rsid w:val="003D630C"/>
    <w:rsid w:val="003E50C5"/>
    <w:rsid w:val="00401BDD"/>
    <w:rsid w:val="00401EEB"/>
    <w:rsid w:val="00403E23"/>
    <w:rsid w:val="00403ED0"/>
    <w:rsid w:val="00406EB8"/>
    <w:rsid w:val="00407FFC"/>
    <w:rsid w:val="00414652"/>
    <w:rsid w:val="004201F7"/>
    <w:rsid w:val="00426FC8"/>
    <w:rsid w:val="00432EA0"/>
    <w:rsid w:val="004340F2"/>
    <w:rsid w:val="00445104"/>
    <w:rsid w:val="00453D9C"/>
    <w:rsid w:val="00457EDB"/>
    <w:rsid w:val="004761E2"/>
    <w:rsid w:val="00483896"/>
    <w:rsid w:val="004924F6"/>
    <w:rsid w:val="004A17AF"/>
    <w:rsid w:val="004B45DA"/>
    <w:rsid w:val="004C0FA0"/>
    <w:rsid w:val="004C3629"/>
    <w:rsid w:val="004E6503"/>
    <w:rsid w:val="004E704B"/>
    <w:rsid w:val="00505BA9"/>
    <w:rsid w:val="00507A57"/>
    <w:rsid w:val="005361EC"/>
    <w:rsid w:val="00540A99"/>
    <w:rsid w:val="005861A0"/>
    <w:rsid w:val="005B075B"/>
    <w:rsid w:val="005B0793"/>
    <w:rsid w:val="005B3B52"/>
    <w:rsid w:val="005D78CD"/>
    <w:rsid w:val="005E482B"/>
    <w:rsid w:val="005E5B0E"/>
    <w:rsid w:val="005F0C16"/>
    <w:rsid w:val="005F379F"/>
    <w:rsid w:val="00616B4D"/>
    <w:rsid w:val="00637BCF"/>
    <w:rsid w:val="006502DF"/>
    <w:rsid w:val="00654DF4"/>
    <w:rsid w:val="00657831"/>
    <w:rsid w:val="006706FA"/>
    <w:rsid w:val="00673781"/>
    <w:rsid w:val="00674612"/>
    <w:rsid w:val="00685C25"/>
    <w:rsid w:val="006A45A1"/>
    <w:rsid w:val="006A58B1"/>
    <w:rsid w:val="006B55DB"/>
    <w:rsid w:val="006C3F79"/>
    <w:rsid w:val="006C47B6"/>
    <w:rsid w:val="006C784E"/>
    <w:rsid w:val="006E6722"/>
    <w:rsid w:val="006E692B"/>
    <w:rsid w:val="006F2509"/>
    <w:rsid w:val="00723BC7"/>
    <w:rsid w:val="00735649"/>
    <w:rsid w:val="0073736B"/>
    <w:rsid w:val="007402F4"/>
    <w:rsid w:val="00750CEC"/>
    <w:rsid w:val="007634C3"/>
    <w:rsid w:val="00765B53"/>
    <w:rsid w:val="007737BB"/>
    <w:rsid w:val="007746C0"/>
    <w:rsid w:val="00793945"/>
    <w:rsid w:val="00795D88"/>
    <w:rsid w:val="007A6585"/>
    <w:rsid w:val="007B3CD3"/>
    <w:rsid w:val="007B55CB"/>
    <w:rsid w:val="007D6F57"/>
    <w:rsid w:val="007E1897"/>
    <w:rsid w:val="007E3FA4"/>
    <w:rsid w:val="007F1B37"/>
    <w:rsid w:val="0080664C"/>
    <w:rsid w:val="0082622F"/>
    <w:rsid w:val="00834E84"/>
    <w:rsid w:val="00847C44"/>
    <w:rsid w:val="008606DF"/>
    <w:rsid w:val="00865F3E"/>
    <w:rsid w:val="008747BA"/>
    <w:rsid w:val="0087498C"/>
    <w:rsid w:val="008842CF"/>
    <w:rsid w:val="008C571B"/>
    <w:rsid w:val="008F7CD4"/>
    <w:rsid w:val="0091211B"/>
    <w:rsid w:val="009206B3"/>
    <w:rsid w:val="00922337"/>
    <w:rsid w:val="009231B2"/>
    <w:rsid w:val="00950202"/>
    <w:rsid w:val="0095662E"/>
    <w:rsid w:val="0098020E"/>
    <w:rsid w:val="00986E39"/>
    <w:rsid w:val="009C5549"/>
    <w:rsid w:val="009D2F91"/>
    <w:rsid w:val="009E5E0D"/>
    <w:rsid w:val="00A1596E"/>
    <w:rsid w:val="00A52752"/>
    <w:rsid w:val="00A61D5F"/>
    <w:rsid w:val="00A62DE8"/>
    <w:rsid w:val="00A65917"/>
    <w:rsid w:val="00A728CC"/>
    <w:rsid w:val="00A8256B"/>
    <w:rsid w:val="00A906AE"/>
    <w:rsid w:val="00A93C42"/>
    <w:rsid w:val="00AA1213"/>
    <w:rsid w:val="00AB3F51"/>
    <w:rsid w:val="00AD4B6F"/>
    <w:rsid w:val="00AD709F"/>
    <w:rsid w:val="00AE5F04"/>
    <w:rsid w:val="00B10132"/>
    <w:rsid w:val="00B13F81"/>
    <w:rsid w:val="00B16D34"/>
    <w:rsid w:val="00B17D4B"/>
    <w:rsid w:val="00B44B60"/>
    <w:rsid w:val="00B57FD7"/>
    <w:rsid w:val="00B64B48"/>
    <w:rsid w:val="00B75FE0"/>
    <w:rsid w:val="00B86E64"/>
    <w:rsid w:val="00B904CE"/>
    <w:rsid w:val="00B94F97"/>
    <w:rsid w:val="00BB3D35"/>
    <w:rsid w:val="00BB6ABA"/>
    <w:rsid w:val="00BC424B"/>
    <w:rsid w:val="00BC49AC"/>
    <w:rsid w:val="00BC7F18"/>
    <w:rsid w:val="00BD71F9"/>
    <w:rsid w:val="00BE7F01"/>
    <w:rsid w:val="00C02217"/>
    <w:rsid w:val="00C06578"/>
    <w:rsid w:val="00C2545E"/>
    <w:rsid w:val="00C31FDF"/>
    <w:rsid w:val="00C35E84"/>
    <w:rsid w:val="00C37602"/>
    <w:rsid w:val="00C42D5C"/>
    <w:rsid w:val="00C4361F"/>
    <w:rsid w:val="00C44891"/>
    <w:rsid w:val="00C46831"/>
    <w:rsid w:val="00C562FB"/>
    <w:rsid w:val="00C6448B"/>
    <w:rsid w:val="00C71669"/>
    <w:rsid w:val="00C8309D"/>
    <w:rsid w:val="00C94BE7"/>
    <w:rsid w:val="00CA6247"/>
    <w:rsid w:val="00CB635D"/>
    <w:rsid w:val="00CC5510"/>
    <w:rsid w:val="00CD5C86"/>
    <w:rsid w:val="00CD6610"/>
    <w:rsid w:val="00CE70B7"/>
    <w:rsid w:val="00D119EC"/>
    <w:rsid w:val="00D16890"/>
    <w:rsid w:val="00D23D8A"/>
    <w:rsid w:val="00D251BF"/>
    <w:rsid w:val="00D3532F"/>
    <w:rsid w:val="00D36ACF"/>
    <w:rsid w:val="00D37224"/>
    <w:rsid w:val="00D555AD"/>
    <w:rsid w:val="00D66E12"/>
    <w:rsid w:val="00D7069F"/>
    <w:rsid w:val="00D95D82"/>
    <w:rsid w:val="00DA155F"/>
    <w:rsid w:val="00DA4049"/>
    <w:rsid w:val="00DC4B70"/>
    <w:rsid w:val="00DD3D4C"/>
    <w:rsid w:val="00DD5D07"/>
    <w:rsid w:val="00DE4042"/>
    <w:rsid w:val="00DF347A"/>
    <w:rsid w:val="00E124F8"/>
    <w:rsid w:val="00E36755"/>
    <w:rsid w:val="00E42B5B"/>
    <w:rsid w:val="00E53209"/>
    <w:rsid w:val="00E54BD1"/>
    <w:rsid w:val="00E6169E"/>
    <w:rsid w:val="00E7364D"/>
    <w:rsid w:val="00E7754D"/>
    <w:rsid w:val="00E81451"/>
    <w:rsid w:val="00EA508E"/>
    <w:rsid w:val="00EA5114"/>
    <w:rsid w:val="00EA6AFA"/>
    <w:rsid w:val="00EC055E"/>
    <w:rsid w:val="00ED3E98"/>
    <w:rsid w:val="00EF2609"/>
    <w:rsid w:val="00EF32F0"/>
    <w:rsid w:val="00F334B6"/>
    <w:rsid w:val="00F528B1"/>
    <w:rsid w:val="00F574DA"/>
    <w:rsid w:val="00F6054E"/>
    <w:rsid w:val="00F65553"/>
    <w:rsid w:val="00FA6646"/>
    <w:rsid w:val="00FC3B9F"/>
    <w:rsid w:val="00FC4C48"/>
    <w:rsid w:val="00FE432E"/>
    <w:rsid w:val="00FE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50F45F"/>
  <w15:chartTrackingRefBased/>
  <w15:docId w15:val="{B557305E-F948-48E0-A7CC-AE90473E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D1"/>
  </w:style>
  <w:style w:type="paragraph" w:styleId="Footer">
    <w:name w:val="footer"/>
    <w:basedOn w:val="Normal"/>
    <w:link w:val="FooterChar"/>
    <w:uiPriority w:val="99"/>
    <w:unhideWhenUsed/>
    <w:rsid w:val="00E5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D1"/>
  </w:style>
  <w:style w:type="character" w:styleId="Hyperlink">
    <w:name w:val="Hyperlink"/>
    <w:uiPriority w:val="99"/>
    <w:rsid w:val="00E54BD1"/>
    <w:rPr>
      <w:color w:val="0000FF"/>
      <w:u w:val="single"/>
    </w:rPr>
  </w:style>
  <w:style w:type="table" w:styleId="TableGrid">
    <w:name w:val="Table Grid"/>
    <w:basedOn w:val="TableNormal"/>
    <w:uiPriority w:val="39"/>
    <w:rsid w:val="00E54BD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D1"/>
    <w:rPr>
      <w:rFonts w:ascii="Segoe UI" w:hAnsi="Segoe UI" w:cs="Segoe UI"/>
      <w:sz w:val="18"/>
      <w:szCs w:val="18"/>
    </w:rPr>
  </w:style>
  <w:style w:type="paragraph" w:styleId="FootnoteText">
    <w:name w:val="footnote text"/>
    <w:basedOn w:val="Normal"/>
    <w:link w:val="FootnoteTextChar"/>
    <w:rsid w:val="00685C2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85C25"/>
    <w:rPr>
      <w:rFonts w:ascii="Arial" w:eastAsia="Times New Roman" w:hAnsi="Arial" w:cs="Times New Roman"/>
      <w:sz w:val="20"/>
      <w:szCs w:val="20"/>
    </w:rPr>
  </w:style>
  <w:style w:type="character" w:styleId="FootnoteReference">
    <w:name w:val="footnote reference"/>
    <w:basedOn w:val="DefaultParagraphFont"/>
    <w:rsid w:val="00685C25"/>
    <w:rPr>
      <w:vertAlign w:val="superscript"/>
    </w:rPr>
  </w:style>
  <w:style w:type="paragraph" w:styleId="NormalWeb">
    <w:name w:val="Normal (Web)"/>
    <w:basedOn w:val="Normal"/>
    <w:uiPriority w:val="99"/>
    <w:unhideWhenUsed/>
    <w:rsid w:val="009D2F91"/>
    <w:pPr>
      <w:spacing w:before="100" w:beforeAutospacing="1" w:after="100" w:afterAutospacing="1" w:line="240" w:lineRule="auto"/>
    </w:pPr>
    <w:rPr>
      <w:rFonts w:eastAsia="Times New Roman" w:cs="Times New Roman"/>
      <w:sz w:val="24"/>
      <w:szCs w:val="24"/>
    </w:rPr>
  </w:style>
  <w:style w:type="paragraph" w:customStyle="1" w:styleId="Default">
    <w:name w:val="Default"/>
    <w:rsid w:val="00750CE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9E5E0D"/>
    <w:pPr>
      <w:widowControl w:val="0"/>
      <w:spacing w:after="0" w:line="240" w:lineRule="auto"/>
      <w:ind w:left="1207"/>
    </w:pPr>
    <w:rPr>
      <w:rFonts w:ascii="Arial" w:eastAsia="Arial" w:hAnsi="Arial"/>
      <w:sz w:val="21"/>
      <w:szCs w:val="21"/>
    </w:rPr>
  </w:style>
  <w:style w:type="character" w:customStyle="1" w:styleId="BodyTextChar">
    <w:name w:val="Body Text Char"/>
    <w:basedOn w:val="DefaultParagraphFont"/>
    <w:link w:val="BodyText"/>
    <w:uiPriority w:val="1"/>
    <w:rsid w:val="009E5E0D"/>
    <w:rPr>
      <w:rFonts w:ascii="Arial" w:eastAsia="Arial" w:hAnsi="Arial"/>
      <w:sz w:val="21"/>
      <w:szCs w:val="21"/>
    </w:rPr>
  </w:style>
  <w:style w:type="paragraph" w:styleId="ListParagraph">
    <w:name w:val="List Paragraph"/>
    <w:basedOn w:val="Normal"/>
    <w:uiPriority w:val="1"/>
    <w:qFormat/>
    <w:rsid w:val="0039572C"/>
    <w:pPr>
      <w:ind w:left="720"/>
      <w:contextualSpacing/>
    </w:pPr>
  </w:style>
  <w:style w:type="paragraph" w:customStyle="1" w:styleId="Style1">
    <w:name w:val="Style1"/>
    <w:basedOn w:val="Normal"/>
    <w:rsid w:val="00AD709F"/>
    <w:pPr>
      <w:spacing w:after="0" w:line="240" w:lineRule="auto"/>
      <w:ind w:left="720" w:right="720"/>
    </w:pPr>
    <w:rPr>
      <w:rFonts w:ascii="Arial" w:eastAsia="Times New Roman" w:hAnsi="Arial" w:cs="Arial"/>
      <w:color w:val="000080"/>
      <w:szCs w:val="20"/>
    </w:rPr>
  </w:style>
  <w:style w:type="character" w:styleId="CommentReference">
    <w:name w:val="annotation reference"/>
    <w:basedOn w:val="DefaultParagraphFont"/>
    <w:uiPriority w:val="99"/>
    <w:semiHidden/>
    <w:unhideWhenUsed/>
    <w:rsid w:val="00E124F8"/>
    <w:rPr>
      <w:sz w:val="16"/>
      <w:szCs w:val="16"/>
    </w:rPr>
  </w:style>
  <w:style w:type="paragraph" w:styleId="CommentText">
    <w:name w:val="annotation text"/>
    <w:basedOn w:val="Normal"/>
    <w:link w:val="CommentTextChar"/>
    <w:uiPriority w:val="99"/>
    <w:semiHidden/>
    <w:unhideWhenUsed/>
    <w:rsid w:val="00E124F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124F8"/>
    <w:rPr>
      <w:rFonts w:ascii="Arial" w:eastAsia="Times New Roman" w:hAnsi="Arial" w:cs="Times New Roman"/>
      <w:sz w:val="20"/>
      <w:szCs w:val="20"/>
    </w:rPr>
  </w:style>
  <w:style w:type="paragraph" w:customStyle="1" w:styleId="Style11">
    <w:name w:val="Style11"/>
    <w:basedOn w:val="Normal"/>
    <w:rsid w:val="00507A57"/>
    <w:pPr>
      <w:tabs>
        <w:tab w:val="left" w:pos="420"/>
        <w:tab w:val="left" w:pos="4320"/>
        <w:tab w:val="right" w:pos="9360"/>
      </w:tabs>
      <w:spacing w:before="60" w:after="60" w:line="240" w:lineRule="auto"/>
    </w:pPr>
    <w:rPr>
      <w:rFonts w:ascii="Arial" w:eastAsia="Times New Roman" w:hAnsi="Arial" w:cs="Arial"/>
      <w:bCs/>
      <w:szCs w:val="20"/>
    </w:rPr>
  </w:style>
  <w:style w:type="table" w:customStyle="1" w:styleId="TableGrid1">
    <w:name w:val="Table Grid1"/>
    <w:basedOn w:val="TableNormal"/>
    <w:next w:val="TableGrid"/>
    <w:uiPriority w:val="39"/>
    <w:rsid w:val="005F0C1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8145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7766">
      <w:bodyDiv w:val="1"/>
      <w:marLeft w:val="0"/>
      <w:marRight w:val="0"/>
      <w:marTop w:val="0"/>
      <w:marBottom w:val="0"/>
      <w:divBdr>
        <w:top w:val="none" w:sz="0" w:space="0" w:color="auto"/>
        <w:left w:val="none" w:sz="0" w:space="0" w:color="auto"/>
        <w:bottom w:val="none" w:sz="0" w:space="0" w:color="auto"/>
        <w:right w:val="none" w:sz="0" w:space="0" w:color="auto"/>
      </w:divBdr>
    </w:div>
    <w:div w:id="543829568">
      <w:bodyDiv w:val="1"/>
      <w:marLeft w:val="0"/>
      <w:marRight w:val="0"/>
      <w:marTop w:val="0"/>
      <w:marBottom w:val="0"/>
      <w:divBdr>
        <w:top w:val="none" w:sz="0" w:space="0" w:color="auto"/>
        <w:left w:val="none" w:sz="0" w:space="0" w:color="auto"/>
        <w:bottom w:val="none" w:sz="0" w:space="0" w:color="auto"/>
        <w:right w:val="none" w:sz="0" w:space="0" w:color="auto"/>
      </w:divBdr>
    </w:div>
    <w:div w:id="1001349366">
      <w:bodyDiv w:val="1"/>
      <w:marLeft w:val="0"/>
      <w:marRight w:val="0"/>
      <w:marTop w:val="0"/>
      <w:marBottom w:val="0"/>
      <w:divBdr>
        <w:top w:val="none" w:sz="0" w:space="0" w:color="auto"/>
        <w:left w:val="none" w:sz="0" w:space="0" w:color="auto"/>
        <w:bottom w:val="none" w:sz="0" w:space="0" w:color="auto"/>
        <w:right w:val="none" w:sz="0" w:space="0" w:color="auto"/>
      </w:divBdr>
    </w:div>
    <w:div w:id="1806046560">
      <w:bodyDiv w:val="1"/>
      <w:marLeft w:val="0"/>
      <w:marRight w:val="0"/>
      <w:marTop w:val="0"/>
      <w:marBottom w:val="0"/>
      <w:divBdr>
        <w:top w:val="none" w:sz="0" w:space="0" w:color="auto"/>
        <w:left w:val="none" w:sz="0" w:space="0" w:color="auto"/>
        <w:bottom w:val="none" w:sz="0" w:space="0" w:color="auto"/>
        <w:right w:val="none" w:sz="0" w:space="0" w:color="auto"/>
      </w:divBdr>
    </w:div>
    <w:div w:id="19544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2C96C.14E3F3A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8429-309A-4FA1-AB84-D443EB31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Wren, Dylan</dc:creator>
  <cp:keywords/>
  <dc:description/>
  <cp:lastModifiedBy>Ashley Mathers</cp:lastModifiedBy>
  <cp:revision>65</cp:revision>
  <cp:lastPrinted>2018-10-02T15:04:00Z</cp:lastPrinted>
  <dcterms:created xsi:type="dcterms:W3CDTF">2018-12-04T14:27:00Z</dcterms:created>
  <dcterms:modified xsi:type="dcterms:W3CDTF">2019-05-28T18:48:00Z</dcterms:modified>
</cp:coreProperties>
</file>