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2B" w:rsidRDefault="003D5B2B">
      <w:pPr>
        <w:pStyle w:val="BodyText"/>
        <w:rPr>
          <w:rFonts w:ascii="Times New Roman"/>
          <w:sz w:val="20"/>
        </w:rPr>
      </w:pPr>
      <w:bookmarkStart w:id="0" w:name="_GoBack"/>
      <w:bookmarkEnd w:id="0"/>
    </w:p>
    <w:p w:rsidR="003D5B2B" w:rsidRDefault="003D5B2B">
      <w:pPr>
        <w:pStyle w:val="BodyText"/>
        <w:spacing w:before="1"/>
        <w:rPr>
          <w:rFonts w:ascii="Times New Roman"/>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3D5B2B">
        <w:trPr>
          <w:trHeight w:val="978"/>
        </w:trPr>
        <w:tc>
          <w:tcPr>
            <w:tcW w:w="9350" w:type="dxa"/>
            <w:shd w:val="clear" w:color="auto" w:fill="001F5F"/>
          </w:tcPr>
          <w:p w:rsidR="003D5B2B" w:rsidRDefault="00895CDD">
            <w:pPr>
              <w:pStyle w:val="TableParagraph"/>
              <w:spacing w:line="458" w:lineRule="exact"/>
              <w:ind w:right="2542"/>
              <w:jc w:val="center"/>
              <w:rPr>
                <w:b/>
                <w:sz w:val="40"/>
              </w:rPr>
            </w:pPr>
            <w:r>
              <w:rPr>
                <w:b/>
                <w:color w:val="FFFFFF"/>
                <w:sz w:val="40"/>
              </w:rPr>
              <w:t>Guidance Document</w:t>
            </w:r>
          </w:p>
          <w:p w:rsidR="003D5B2B" w:rsidRDefault="00895CDD">
            <w:pPr>
              <w:pStyle w:val="TableParagraph"/>
              <w:spacing w:line="275" w:lineRule="exact"/>
              <w:ind w:right="2545"/>
              <w:jc w:val="center"/>
              <w:rPr>
                <w:i/>
                <w:sz w:val="24"/>
              </w:rPr>
            </w:pPr>
            <w:r>
              <w:rPr>
                <w:i/>
                <w:color w:val="FFFFFF"/>
                <w:sz w:val="24"/>
              </w:rPr>
              <w:t>Pursuant to Neb. Rev. Stat. §84-901.03</w:t>
            </w:r>
          </w:p>
        </w:tc>
      </w:tr>
      <w:tr w:rsidR="003D5B2B">
        <w:trPr>
          <w:trHeight w:val="3542"/>
        </w:trPr>
        <w:tc>
          <w:tcPr>
            <w:tcW w:w="9350" w:type="dxa"/>
          </w:tcPr>
          <w:p w:rsidR="003D5B2B" w:rsidRDefault="003D5B2B">
            <w:pPr>
              <w:pStyle w:val="TableParagraph"/>
              <w:spacing w:before="7"/>
              <w:ind w:left="0"/>
              <w:rPr>
                <w:rFonts w:ascii="Times New Roman"/>
                <w:sz w:val="27"/>
              </w:rPr>
            </w:pPr>
          </w:p>
          <w:p w:rsidR="00D1714A" w:rsidRPr="00713C9A" w:rsidRDefault="00895CDD" w:rsidP="00713C9A">
            <w:pPr>
              <w:pStyle w:val="TableParagraph"/>
              <w:ind w:left="107" w:right="120"/>
              <w:rPr>
                <w:sz w:val="28"/>
              </w:rPr>
            </w:pPr>
            <w:r>
              <w:rPr>
                <w:color w:val="001F5F"/>
                <w:sz w:val="28"/>
              </w:rPr>
              <w:t>This guidance document is advisory in nature but is binding on an agency until amended by such agency. A guidance document does not include internal procedural documents that only affect the internal operation of the agency and does not impose additional requirements or penalties on regulated parties or include confidential information or rules and regulations made in accordance with the Administrative Procedures Act. If you believe that this guidance document imposes additional requirement or penalties on regulated parties, you may request a review of the</w:t>
            </w:r>
            <w:r>
              <w:rPr>
                <w:color w:val="001F5F"/>
                <w:spacing w:val="-3"/>
                <w:sz w:val="28"/>
              </w:rPr>
              <w:t xml:space="preserve"> </w:t>
            </w:r>
            <w:r>
              <w:rPr>
                <w:color w:val="001F5F"/>
                <w:sz w:val="28"/>
              </w:rPr>
              <w:t>document.</w:t>
            </w:r>
          </w:p>
          <w:p w:rsidR="003D5B2B" w:rsidRPr="00D1714A" w:rsidRDefault="00D1714A" w:rsidP="00D1714A">
            <w:pPr>
              <w:tabs>
                <w:tab w:val="left" w:pos="5171"/>
              </w:tabs>
            </w:pPr>
            <w:r>
              <w:tab/>
            </w:r>
          </w:p>
        </w:tc>
      </w:tr>
    </w:tbl>
    <w:p w:rsidR="003D5B2B" w:rsidRDefault="003D5B2B">
      <w:pPr>
        <w:rPr>
          <w:sz w:val="28"/>
        </w:rPr>
        <w:sectPr w:rsidR="003D5B2B" w:rsidSect="004A76D1">
          <w:headerReference w:type="default" r:id="rId7"/>
          <w:footerReference w:type="even" r:id="rId8"/>
          <w:footerReference w:type="default" r:id="rId9"/>
          <w:type w:val="continuous"/>
          <w:pgSz w:w="12240" w:h="15840"/>
          <w:pgMar w:top="1500" w:right="1320" w:bottom="880" w:left="1340" w:header="720" w:footer="1440" w:gutter="0"/>
          <w:pgNumType w:start="1"/>
          <w:cols w:space="720"/>
          <w:docGrid w:linePitch="299"/>
        </w:sectPr>
      </w:pPr>
    </w:p>
    <w:p w:rsidR="003D5B2B" w:rsidRDefault="00D1714A">
      <w:pPr>
        <w:spacing w:before="1"/>
        <w:ind w:right="119"/>
        <w:jc w:val="right"/>
        <w:rPr>
          <w:sz w:val="32"/>
        </w:rPr>
      </w:pPr>
      <w:r>
        <w:rPr>
          <w:sz w:val="32"/>
        </w:rPr>
        <w:lastRenderedPageBreak/>
        <w:t>Remuneration to Election Workers</w:t>
      </w:r>
    </w:p>
    <w:p w:rsidR="003D5B2B" w:rsidRDefault="003D5B2B">
      <w:pPr>
        <w:pStyle w:val="BodyText"/>
        <w:spacing w:before="10"/>
        <w:rPr>
          <w:sz w:val="13"/>
        </w:rPr>
      </w:pPr>
    </w:p>
    <w:p w:rsidR="003D5B2B" w:rsidRDefault="00895CDD">
      <w:pPr>
        <w:pStyle w:val="BodyText"/>
        <w:spacing w:before="94"/>
        <w:ind w:left="100"/>
      </w:pPr>
      <w:r>
        <w:rPr>
          <w:color w:val="333333"/>
          <w:u w:val="single" w:color="333333"/>
        </w:rPr>
        <w:t>DISCLAIMER:</w:t>
      </w:r>
    </w:p>
    <w:p w:rsidR="003D5B2B" w:rsidRDefault="003D5B2B">
      <w:pPr>
        <w:pStyle w:val="BodyText"/>
        <w:spacing w:before="10"/>
        <w:rPr>
          <w:sz w:val="13"/>
        </w:rPr>
      </w:pPr>
    </w:p>
    <w:p w:rsidR="003D5B2B" w:rsidRDefault="00895CDD">
      <w:pPr>
        <w:pStyle w:val="BodyText"/>
        <w:spacing w:before="94"/>
        <w:ind w:left="100" w:right="166"/>
      </w:pPr>
      <w:r>
        <w:rPr>
          <w:color w:val="333333"/>
        </w:rPr>
        <w:t xml:space="preserve">This Guidance Document is not intended to take the place of the law, but is intended to provide individuals with a general understanding of some of the requirements related to the Nebraska Department of Labor’s </w:t>
      </w:r>
      <w:r w:rsidR="00713C9A">
        <w:rPr>
          <w:color w:val="333333"/>
        </w:rPr>
        <w:t xml:space="preserve">administration of the Nebraska Employment Security Law, </w:t>
      </w:r>
      <w:r w:rsidR="00713C9A">
        <w:rPr>
          <w:i/>
          <w:color w:val="333333"/>
        </w:rPr>
        <w:t xml:space="preserve">Neb. Rev. Stat. </w:t>
      </w:r>
      <w:r w:rsidR="00713C9A">
        <w:rPr>
          <w:color w:val="333333"/>
        </w:rPr>
        <w:t>§§48-601 through 48-683 (NESL)</w:t>
      </w:r>
      <w:r>
        <w:rPr>
          <w:color w:val="333333"/>
        </w:rPr>
        <w:t>. For additional information</w:t>
      </w:r>
      <w:r w:rsidR="00713C9A">
        <w:rPr>
          <w:color w:val="333333"/>
        </w:rPr>
        <w:t>,</w:t>
      </w:r>
      <w:r>
        <w:rPr>
          <w:color w:val="333333"/>
        </w:rPr>
        <w:t xml:space="preserve"> individuals may consult the “Handbook for Unemployed Workers” or visit dol.nebraska.gov, where information is provided on the </w:t>
      </w:r>
      <w:r w:rsidR="00713C9A">
        <w:rPr>
          <w:color w:val="333333"/>
        </w:rPr>
        <w:t>NESL,</w:t>
      </w:r>
      <w:r>
        <w:rPr>
          <w:color w:val="333333"/>
        </w:rPr>
        <w:t xml:space="preserve"> and portions of the Nebraska Administrative Code related to NESL.</w:t>
      </w:r>
    </w:p>
    <w:p w:rsidR="003D5B2B" w:rsidRDefault="003D5B2B">
      <w:pPr>
        <w:pStyle w:val="BodyText"/>
        <w:rPr>
          <w:sz w:val="24"/>
        </w:rPr>
      </w:pPr>
    </w:p>
    <w:p w:rsidR="003D5B2B" w:rsidRDefault="00D1714A">
      <w:pPr>
        <w:pStyle w:val="BodyText"/>
        <w:spacing w:before="207"/>
        <w:ind w:left="100"/>
        <w:rPr>
          <w:color w:val="333333"/>
          <w:u w:val="single" w:color="333333"/>
        </w:rPr>
      </w:pPr>
      <w:r>
        <w:rPr>
          <w:color w:val="333333"/>
          <w:u w:val="single" w:color="333333"/>
        </w:rPr>
        <w:t>Wage Offset</w:t>
      </w:r>
      <w:r w:rsidR="00895CDD">
        <w:rPr>
          <w:color w:val="333333"/>
          <w:u w:val="single" w:color="333333"/>
        </w:rPr>
        <w:t>:</w:t>
      </w:r>
    </w:p>
    <w:p w:rsidR="00D1714A" w:rsidRPr="00D1714A" w:rsidRDefault="004A76D1">
      <w:pPr>
        <w:pStyle w:val="BodyText"/>
        <w:spacing w:before="207"/>
        <w:ind w:left="100"/>
      </w:pPr>
      <w:r>
        <w:rPr>
          <w:color w:val="333333"/>
        </w:rPr>
        <w:t>Services performed by an individual in the exercise of his or her duties as an election official or election worker</w:t>
      </w:r>
      <w:r w:rsidR="00D1714A">
        <w:rPr>
          <w:color w:val="333333"/>
        </w:rPr>
        <w:t xml:space="preserve"> is specifically excluded from the definition of employment under subsection (6)</w:t>
      </w:r>
      <w:r w:rsidR="00713C9A">
        <w:rPr>
          <w:color w:val="333333"/>
        </w:rPr>
        <w:t>(f)</w:t>
      </w:r>
      <w:r w:rsidR="00D1714A">
        <w:rPr>
          <w:color w:val="333333"/>
        </w:rPr>
        <w:t xml:space="preserve">(v) of </w:t>
      </w:r>
      <w:r w:rsidR="00D1714A">
        <w:rPr>
          <w:i/>
          <w:color w:val="333333"/>
        </w:rPr>
        <w:t xml:space="preserve">Neb. Rev. Stat. </w:t>
      </w:r>
      <w:r w:rsidR="00D1714A">
        <w:rPr>
          <w:color w:val="333333"/>
        </w:rPr>
        <w:t xml:space="preserve">§§48-604. Remuneration to </w:t>
      </w:r>
      <w:r>
        <w:rPr>
          <w:color w:val="333333"/>
        </w:rPr>
        <w:t xml:space="preserve">election officials and </w:t>
      </w:r>
      <w:r w:rsidR="00D1714A">
        <w:rPr>
          <w:color w:val="333333"/>
        </w:rPr>
        <w:t xml:space="preserve">election workers </w:t>
      </w:r>
      <w:r>
        <w:rPr>
          <w:color w:val="333333"/>
        </w:rPr>
        <w:t xml:space="preserve">that is less than one thousand dollars in a calendar year </w:t>
      </w:r>
      <w:r w:rsidR="00D1714A">
        <w:rPr>
          <w:color w:val="333333"/>
        </w:rPr>
        <w:t>is not wages in employment</w:t>
      </w:r>
      <w:r>
        <w:rPr>
          <w:color w:val="333333"/>
        </w:rPr>
        <w:t>,</w:t>
      </w:r>
      <w:r w:rsidR="00D1714A">
        <w:rPr>
          <w:color w:val="333333"/>
        </w:rPr>
        <w:t xml:space="preserve"> and should be disregarded in calculating any offset against unemployment benefits under subsection (1) of </w:t>
      </w:r>
      <w:r w:rsidR="00D1714A">
        <w:rPr>
          <w:i/>
          <w:color w:val="333333"/>
        </w:rPr>
        <w:t xml:space="preserve">Neb. Rev. Stat. </w:t>
      </w:r>
      <w:r w:rsidR="00D1714A">
        <w:rPr>
          <w:color w:val="333333"/>
        </w:rPr>
        <w:t>§§48-625.</w:t>
      </w:r>
    </w:p>
    <w:p w:rsidR="003D5B2B" w:rsidRDefault="003D5B2B">
      <w:pPr>
        <w:pStyle w:val="BodyText"/>
        <w:spacing w:before="10"/>
        <w:rPr>
          <w:sz w:val="13"/>
        </w:rPr>
      </w:pPr>
    </w:p>
    <w:p w:rsidR="003D5B2B" w:rsidRDefault="003D5B2B">
      <w:pPr>
        <w:pStyle w:val="BodyText"/>
        <w:rPr>
          <w:sz w:val="24"/>
        </w:rPr>
      </w:pPr>
    </w:p>
    <w:p w:rsidR="003D5B2B" w:rsidRDefault="003D5B2B" w:rsidP="004A76D1">
      <w:pPr>
        <w:pStyle w:val="BodyText"/>
        <w:spacing w:before="77"/>
        <w:ind w:left="100"/>
      </w:pPr>
    </w:p>
    <w:sectPr w:rsidR="003D5B2B" w:rsidSect="00D1714A">
      <w:pgSz w:w="12240" w:h="15840"/>
      <w:pgMar w:top="1360" w:right="1320" w:bottom="880" w:left="1340"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FF5" w:rsidRDefault="00216FF5">
      <w:r>
        <w:separator/>
      </w:r>
    </w:p>
  </w:endnote>
  <w:endnote w:type="continuationSeparator" w:id="0">
    <w:p w:rsidR="00216FF5" w:rsidRDefault="0021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D1" w:rsidRDefault="004A76D1" w:rsidP="004A76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D1" w:rsidRPr="004A76D1" w:rsidRDefault="004A76D1" w:rsidP="004A76D1">
    <w:pPr>
      <w:pStyle w:val="Footer"/>
      <w:jc w:val="center"/>
      <w:rPr>
        <w:sz w:val="20"/>
        <w:szCs w:val="20"/>
      </w:rPr>
    </w:pPr>
    <w:r w:rsidRPr="004A76D1">
      <w:rPr>
        <w:sz w:val="20"/>
        <w:szCs w:val="20"/>
      </w:rPr>
      <w:t xml:space="preserve">Page </w:t>
    </w:r>
    <w:r w:rsidRPr="004A76D1">
      <w:rPr>
        <w:bCs/>
        <w:sz w:val="20"/>
        <w:szCs w:val="20"/>
      </w:rPr>
      <w:fldChar w:fldCharType="begin"/>
    </w:r>
    <w:r w:rsidRPr="004A76D1">
      <w:rPr>
        <w:bCs/>
        <w:sz w:val="20"/>
        <w:szCs w:val="20"/>
      </w:rPr>
      <w:instrText xml:space="preserve"> PAGE  \* Arabic  \* MERGEFORMAT </w:instrText>
    </w:r>
    <w:r w:rsidRPr="004A76D1">
      <w:rPr>
        <w:bCs/>
        <w:sz w:val="20"/>
        <w:szCs w:val="20"/>
      </w:rPr>
      <w:fldChar w:fldCharType="separate"/>
    </w:r>
    <w:r w:rsidR="003A4E3B">
      <w:rPr>
        <w:bCs/>
        <w:noProof/>
        <w:sz w:val="20"/>
        <w:szCs w:val="20"/>
      </w:rPr>
      <w:t>2</w:t>
    </w:r>
    <w:r w:rsidRPr="004A76D1">
      <w:rPr>
        <w:bCs/>
        <w:sz w:val="20"/>
        <w:szCs w:val="20"/>
      </w:rPr>
      <w:fldChar w:fldCharType="end"/>
    </w:r>
    <w:r w:rsidRPr="004A76D1">
      <w:rPr>
        <w:sz w:val="20"/>
        <w:szCs w:val="20"/>
      </w:rPr>
      <w:t xml:space="preserve"> of </w:t>
    </w:r>
    <w:r w:rsidRPr="004A76D1">
      <w:rPr>
        <w:bCs/>
        <w:sz w:val="20"/>
        <w:szCs w:val="20"/>
      </w:rPr>
      <w:fldChar w:fldCharType="begin"/>
    </w:r>
    <w:r w:rsidRPr="004A76D1">
      <w:rPr>
        <w:bCs/>
        <w:sz w:val="20"/>
        <w:szCs w:val="20"/>
      </w:rPr>
      <w:instrText xml:space="preserve"> NUMPAGES  \* Arabic  \* MERGEFORMAT </w:instrText>
    </w:r>
    <w:r w:rsidRPr="004A76D1">
      <w:rPr>
        <w:bCs/>
        <w:sz w:val="20"/>
        <w:szCs w:val="20"/>
      </w:rPr>
      <w:fldChar w:fldCharType="separate"/>
    </w:r>
    <w:r w:rsidR="003A4E3B">
      <w:rPr>
        <w:bCs/>
        <w:noProof/>
        <w:sz w:val="20"/>
        <w:szCs w:val="20"/>
      </w:rPr>
      <w:t>2</w:t>
    </w:r>
    <w:r w:rsidRPr="004A76D1">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FF5" w:rsidRDefault="00216FF5">
      <w:r>
        <w:separator/>
      </w:r>
    </w:p>
  </w:footnote>
  <w:footnote w:type="continuationSeparator" w:id="0">
    <w:p w:rsidR="00216FF5" w:rsidRDefault="0021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D1" w:rsidRDefault="004A76D1" w:rsidP="004A76D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2B"/>
    <w:rsid w:val="00216FF5"/>
    <w:rsid w:val="003A4E3B"/>
    <w:rsid w:val="003D5B2B"/>
    <w:rsid w:val="004A76D1"/>
    <w:rsid w:val="00713C9A"/>
    <w:rsid w:val="00895CDD"/>
    <w:rsid w:val="00D1714A"/>
    <w:rsid w:val="00F9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82A90D-6373-4751-A63F-F5FE128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right="119" w:hanging="461"/>
      <w:jc w:val="right"/>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2552"/>
    </w:pPr>
  </w:style>
  <w:style w:type="paragraph" w:styleId="Header">
    <w:name w:val="header"/>
    <w:basedOn w:val="Normal"/>
    <w:link w:val="HeaderChar"/>
    <w:uiPriority w:val="99"/>
    <w:unhideWhenUsed/>
    <w:rsid w:val="00D1714A"/>
    <w:pPr>
      <w:tabs>
        <w:tab w:val="center" w:pos="4680"/>
        <w:tab w:val="right" w:pos="9360"/>
      </w:tabs>
    </w:pPr>
  </w:style>
  <w:style w:type="character" w:customStyle="1" w:styleId="HeaderChar">
    <w:name w:val="Header Char"/>
    <w:basedOn w:val="DefaultParagraphFont"/>
    <w:link w:val="Header"/>
    <w:uiPriority w:val="99"/>
    <w:rsid w:val="00D1714A"/>
    <w:rPr>
      <w:rFonts w:ascii="Arial" w:eastAsia="Arial" w:hAnsi="Arial" w:cs="Arial"/>
      <w:lang w:bidi="en-US"/>
    </w:rPr>
  </w:style>
  <w:style w:type="paragraph" w:styleId="Footer">
    <w:name w:val="footer"/>
    <w:basedOn w:val="Normal"/>
    <w:link w:val="FooterChar"/>
    <w:uiPriority w:val="99"/>
    <w:unhideWhenUsed/>
    <w:rsid w:val="00D1714A"/>
    <w:pPr>
      <w:tabs>
        <w:tab w:val="center" w:pos="4680"/>
        <w:tab w:val="right" w:pos="9360"/>
      </w:tabs>
    </w:pPr>
  </w:style>
  <w:style w:type="character" w:customStyle="1" w:styleId="FooterChar">
    <w:name w:val="Footer Char"/>
    <w:basedOn w:val="DefaultParagraphFont"/>
    <w:link w:val="Footer"/>
    <w:uiPriority w:val="99"/>
    <w:rsid w:val="00D1714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F0F9-5213-4C17-B734-3FBCA838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Baltensperger, Katie</dc:creator>
  <cp:lastModifiedBy>Abel, Cindy</cp:lastModifiedBy>
  <cp:revision>2</cp:revision>
  <dcterms:created xsi:type="dcterms:W3CDTF">2020-04-07T19:30:00Z</dcterms:created>
  <dcterms:modified xsi:type="dcterms:W3CDTF">2020-04-07T19:30:00Z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19 for Word</vt:lpwstr>
  </property>
  <property fmtid="{D5CDD505-2E9C-101B-9397-08002B2CF9AE}" pid="4" name="LastSaved">
    <vt:filetime>2020-04-03T00:00:00Z</vt:filetime>
  </property>
</Properties>
</file>