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D33B" w14:textId="57AB27A2" w:rsidR="00E12464" w:rsidRPr="003B5FF3" w:rsidRDefault="00107F1D" w:rsidP="00107F1D">
      <w:pPr>
        <w:ind w:right="-270"/>
        <w:jc w:val="center"/>
        <w:rPr>
          <w:rFonts w:cs="Arial"/>
          <w:b/>
          <w:szCs w:val="22"/>
        </w:rPr>
      </w:pPr>
      <w:bookmarkStart w:id="0" w:name="_GoBack"/>
      <w:bookmarkEnd w:id="0"/>
      <w:r w:rsidRPr="003B5FF3">
        <w:rPr>
          <w:rFonts w:cs="Arial"/>
          <w:b/>
          <w:szCs w:val="22"/>
        </w:rPr>
        <w:t>Interim</w:t>
      </w:r>
      <w:r w:rsidR="00E12464" w:rsidRPr="003B5FF3">
        <w:rPr>
          <w:rFonts w:cs="Arial"/>
          <w:b/>
          <w:szCs w:val="22"/>
        </w:rPr>
        <w:t xml:space="preserve"> Policy on Individual Training Accounts</w:t>
      </w:r>
    </w:p>
    <w:p w14:paraId="261E50EE" w14:textId="77777777" w:rsidR="00E12464" w:rsidRPr="003B5FF3" w:rsidRDefault="00E12464" w:rsidP="00E12464">
      <w:pPr>
        <w:jc w:val="both"/>
        <w:rPr>
          <w:rFonts w:cs="Arial"/>
          <w:sz w:val="22"/>
          <w:szCs w:val="22"/>
        </w:rPr>
      </w:pPr>
    </w:p>
    <w:p w14:paraId="741393C6" w14:textId="7235C179" w:rsidR="00E12464" w:rsidRPr="003B5FF3" w:rsidRDefault="003B5FF3" w:rsidP="005C5351">
      <w:pPr>
        <w:pStyle w:val="Heading1"/>
        <w:spacing w:before="0"/>
        <w:rPr>
          <w:rFonts w:ascii="Arial" w:hAnsi="Arial" w:cs="Arial"/>
          <w:b/>
          <w:color w:val="0070C0"/>
          <w:sz w:val="22"/>
          <w:szCs w:val="22"/>
        </w:rPr>
      </w:pPr>
      <w:r w:rsidRPr="003B5FF3">
        <w:rPr>
          <w:rFonts w:ascii="Arial" w:hAnsi="Arial" w:cs="Arial"/>
          <w:b/>
          <w:color w:val="0070C0"/>
          <w:sz w:val="22"/>
          <w:szCs w:val="22"/>
        </w:rPr>
        <w:t>REFERENCE</w:t>
      </w:r>
    </w:p>
    <w:p w14:paraId="3333DD84" w14:textId="77777777" w:rsidR="00B4330B" w:rsidRPr="003B5FF3" w:rsidRDefault="00B4330B" w:rsidP="00E12464">
      <w:pPr>
        <w:ind w:left="2160" w:hanging="2160"/>
        <w:jc w:val="both"/>
        <w:rPr>
          <w:rFonts w:cs="Arial"/>
          <w:b/>
          <w:color w:val="000000"/>
          <w:sz w:val="22"/>
          <w:szCs w:val="22"/>
        </w:rPr>
      </w:pPr>
    </w:p>
    <w:p w14:paraId="2E19008D" w14:textId="5960FC25" w:rsidR="00E12464" w:rsidRDefault="00E12464" w:rsidP="00E12464">
      <w:pPr>
        <w:jc w:val="both"/>
        <w:rPr>
          <w:rFonts w:cs="Arial"/>
          <w:sz w:val="22"/>
          <w:szCs w:val="22"/>
        </w:rPr>
      </w:pPr>
      <w:r w:rsidRPr="003B5FF3">
        <w:rPr>
          <w:rFonts w:cs="Arial"/>
          <w:sz w:val="22"/>
          <w:szCs w:val="22"/>
        </w:rPr>
        <w:t>Workforce Innovation and Opportunity Act</w:t>
      </w:r>
      <w:r w:rsidR="0088573A" w:rsidRPr="003B5FF3">
        <w:rPr>
          <w:rFonts w:cs="Arial"/>
          <w:sz w:val="22"/>
          <w:szCs w:val="22"/>
        </w:rPr>
        <w:t xml:space="preserve"> (WIOA),</w:t>
      </w:r>
      <w:r w:rsidRPr="003B5FF3">
        <w:rPr>
          <w:rFonts w:cs="Arial"/>
          <w:sz w:val="22"/>
          <w:szCs w:val="22"/>
        </w:rPr>
        <w:t xml:space="preserve"> </w:t>
      </w:r>
      <w:r w:rsidR="00284982" w:rsidRPr="003B5FF3">
        <w:rPr>
          <w:rFonts w:cs="Arial"/>
          <w:sz w:val="22"/>
          <w:szCs w:val="22"/>
        </w:rPr>
        <w:t>Sections 122 and 134</w:t>
      </w:r>
      <w:r w:rsidRPr="003B5FF3">
        <w:rPr>
          <w:rFonts w:cs="Arial"/>
          <w:sz w:val="22"/>
          <w:szCs w:val="22"/>
        </w:rPr>
        <w:t xml:space="preserve">; </w:t>
      </w:r>
      <w:r w:rsidR="002B1E4E" w:rsidRPr="003B5FF3">
        <w:rPr>
          <w:rFonts w:cs="Arial"/>
          <w:sz w:val="22"/>
          <w:szCs w:val="22"/>
        </w:rPr>
        <w:t>WIOA Notice of Proposed Rulemaking</w:t>
      </w:r>
      <w:r w:rsidR="0088573A" w:rsidRPr="003B5FF3">
        <w:rPr>
          <w:rFonts w:cs="Arial"/>
          <w:sz w:val="22"/>
          <w:szCs w:val="22"/>
        </w:rPr>
        <w:t xml:space="preserve">, </w:t>
      </w:r>
      <w:r w:rsidRPr="003B5FF3">
        <w:rPr>
          <w:rFonts w:cs="Arial"/>
          <w:sz w:val="22"/>
          <w:szCs w:val="22"/>
        </w:rPr>
        <w:t xml:space="preserve">20 CFR </w:t>
      </w:r>
      <w:r w:rsidR="00750A6E" w:rsidRPr="003B5FF3">
        <w:rPr>
          <w:rFonts w:cs="Arial"/>
          <w:sz w:val="22"/>
          <w:szCs w:val="22"/>
        </w:rPr>
        <w:t xml:space="preserve">§§ </w:t>
      </w:r>
      <w:r w:rsidRPr="003B5FF3">
        <w:rPr>
          <w:rFonts w:cs="Arial"/>
          <w:sz w:val="22"/>
          <w:szCs w:val="22"/>
        </w:rPr>
        <w:t>6</w:t>
      </w:r>
      <w:r w:rsidR="0088573A" w:rsidRPr="003B5FF3">
        <w:rPr>
          <w:rFonts w:cs="Arial"/>
          <w:sz w:val="22"/>
          <w:szCs w:val="22"/>
        </w:rPr>
        <w:t>80</w:t>
      </w:r>
      <w:r w:rsidRPr="003B5FF3">
        <w:rPr>
          <w:rFonts w:cs="Arial"/>
          <w:sz w:val="22"/>
          <w:szCs w:val="22"/>
        </w:rPr>
        <w:t>.</w:t>
      </w:r>
      <w:r w:rsidR="0088573A" w:rsidRPr="003B5FF3">
        <w:rPr>
          <w:rFonts w:cs="Arial"/>
          <w:sz w:val="22"/>
          <w:szCs w:val="22"/>
        </w:rPr>
        <w:t>3</w:t>
      </w:r>
      <w:r w:rsidRPr="003B5FF3">
        <w:rPr>
          <w:rFonts w:cs="Arial"/>
          <w:sz w:val="22"/>
          <w:szCs w:val="22"/>
        </w:rPr>
        <w:t>00-6</w:t>
      </w:r>
      <w:r w:rsidR="0088573A" w:rsidRPr="003B5FF3">
        <w:rPr>
          <w:rFonts w:cs="Arial"/>
          <w:sz w:val="22"/>
          <w:szCs w:val="22"/>
        </w:rPr>
        <w:t>80</w:t>
      </w:r>
      <w:r w:rsidRPr="003B5FF3">
        <w:rPr>
          <w:rFonts w:cs="Arial"/>
          <w:sz w:val="22"/>
          <w:szCs w:val="22"/>
        </w:rPr>
        <w:t>.</w:t>
      </w:r>
      <w:r w:rsidR="0088573A" w:rsidRPr="003B5FF3">
        <w:rPr>
          <w:rFonts w:cs="Arial"/>
          <w:sz w:val="22"/>
          <w:szCs w:val="22"/>
        </w:rPr>
        <w:t>3</w:t>
      </w:r>
      <w:r w:rsidRPr="003B5FF3">
        <w:rPr>
          <w:rFonts w:cs="Arial"/>
          <w:sz w:val="22"/>
          <w:szCs w:val="22"/>
        </w:rPr>
        <w:t>40; Higher Education Act (HEA) of 1965, as amended by the College Cost Reduction Act of 2007</w:t>
      </w:r>
      <w:r w:rsidR="00715B61" w:rsidRPr="003B5FF3">
        <w:rPr>
          <w:rFonts w:cs="Arial"/>
          <w:sz w:val="22"/>
          <w:szCs w:val="22"/>
        </w:rPr>
        <w:t xml:space="preserve">; </w:t>
      </w:r>
      <w:r w:rsidR="002B1E4E" w:rsidRPr="003B5FF3">
        <w:rPr>
          <w:rFonts w:cs="Arial"/>
          <w:sz w:val="22"/>
          <w:szCs w:val="22"/>
        </w:rPr>
        <w:t>TEGL 10-09, Attachment A</w:t>
      </w:r>
      <w:r w:rsidRPr="003B5FF3">
        <w:rPr>
          <w:rFonts w:cs="Arial"/>
          <w:sz w:val="22"/>
          <w:szCs w:val="22"/>
        </w:rPr>
        <w:t xml:space="preserve">; </w:t>
      </w:r>
      <w:r w:rsidR="002B1E4E" w:rsidRPr="003B5FF3">
        <w:rPr>
          <w:rFonts w:cs="Arial"/>
          <w:sz w:val="22"/>
          <w:szCs w:val="22"/>
        </w:rPr>
        <w:t>TEN 11-09</w:t>
      </w:r>
      <w:r w:rsidRPr="003B5FF3">
        <w:rPr>
          <w:rFonts w:cs="Arial"/>
          <w:sz w:val="22"/>
          <w:szCs w:val="22"/>
        </w:rPr>
        <w:t>; and Pell Grants and Other Financial Aid Issues Policy.</w:t>
      </w:r>
    </w:p>
    <w:p w14:paraId="706724A0" w14:textId="77777777" w:rsidR="00C56FBE" w:rsidRDefault="00C56FBE" w:rsidP="00E12464">
      <w:pPr>
        <w:jc w:val="both"/>
        <w:rPr>
          <w:rFonts w:cs="Arial"/>
          <w:sz w:val="22"/>
          <w:szCs w:val="22"/>
        </w:rPr>
      </w:pPr>
    </w:p>
    <w:p w14:paraId="3FF51419" w14:textId="77777777" w:rsidR="00C56FBE" w:rsidRDefault="00C56FBE" w:rsidP="00E12464">
      <w:pPr>
        <w:jc w:val="both"/>
        <w:rPr>
          <w:rFonts w:cs="Arial"/>
          <w:sz w:val="22"/>
          <w:szCs w:val="22"/>
        </w:rPr>
      </w:pPr>
    </w:p>
    <w:p w14:paraId="3810D43B" w14:textId="465842DB" w:rsidR="00C56FBE" w:rsidRPr="009121C1" w:rsidRDefault="00C56FBE" w:rsidP="009121C1">
      <w:pPr>
        <w:pStyle w:val="Heading1"/>
        <w:spacing w:before="0"/>
        <w:rPr>
          <w:rFonts w:ascii="Arial" w:hAnsi="Arial" w:cs="Arial"/>
          <w:b/>
          <w:color w:val="0070C0"/>
          <w:sz w:val="22"/>
          <w:szCs w:val="22"/>
        </w:rPr>
      </w:pPr>
      <w:r w:rsidRPr="009121C1">
        <w:rPr>
          <w:rFonts w:ascii="Arial" w:hAnsi="Arial" w:cs="Arial"/>
          <w:b/>
          <w:color w:val="0070C0"/>
          <w:sz w:val="22"/>
          <w:szCs w:val="22"/>
        </w:rPr>
        <w:t>CHANGES</w:t>
      </w:r>
    </w:p>
    <w:p w14:paraId="78AAAA68" w14:textId="77777777" w:rsidR="00C56FBE" w:rsidRDefault="00C56FBE" w:rsidP="00E12464">
      <w:pPr>
        <w:jc w:val="both"/>
        <w:rPr>
          <w:rFonts w:cs="Arial"/>
          <w:sz w:val="22"/>
          <w:szCs w:val="22"/>
        </w:rPr>
      </w:pPr>
    </w:p>
    <w:p w14:paraId="430994C4" w14:textId="371DFD7B" w:rsidR="00C56FBE" w:rsidRDefault="00C56FBE" w:rsidP="00E12464">
      <w:pPr>
        <w:jc w:val="both"/>
        <w:rPr>
          <w:rFonts w:cs="Arial"/>
          <w:sz w:val="22"/>
          <w:szCs w:val="22"/>
        </w:rPr>
      </w:pPr>
      <w:r>
        <w:rPr>
          <w:rFonts w:cs="Arial"/>
          <w:sz w:val="22"/>
          <w:szCs w:val="22"/>
        </w:rPr>
        <w:t xml:space="preserve">This interim policy establishes and implements the following material changes to the </w:t>
      </w:r>
      <w:r w:rsidRPr="00C56FBE">
        <w:rPr>
          <w:rFonts w:cs="Arial"/>
          <w:sz w:val="22"/>
          <w:szCs w:val="22"/>
        </w:rPr>
        <w:t>Nebraska Department of Labor</w:t>
      </w:r>
      <w:r>
        <w:rPr>
          <w:rFonts w:cs="Arial"/>
          <w:sz w:val="22"/>
          <w:szCs w:val="22"/>
        </w:rPr>
        <w:t xml:space="preserve"> (NDOL) Preliminary Policy on Individual Training Accounts:</w:t>
      </w:r>
    </w:p>
    <w:p w14:paraId="3C8E3898" w14:textId="77777777" w:rsidR="00C56FBE" w:rsidRDefault="00C56FBE" w:rsidP="00E12464">
      <w:pPr>
        <w:jc w:val="both"/>
        <w:rPr>
          <w:rFonts w:cs="Arial"/>
          <w:sz w:val="22"/>
          <w:szCs w:val="22"/>
        </w:rPr>
      </w:pPr>
    </w:p>
    <w:p w14:paraId="14921E7E" w14:textId="1491F6B2" w:rsidR="00C56FBE" w:rsidRPr="009121C1" w:rsidRDefault="00C56FBE" w:rsidP="009121C1">
      <w:pPr>
        <w:pStyle w:val="ListParagraph"/>
        <w:numPr>
          <w:ilvl w:val="0"/>
          <w:numId w:val="16"/>
        </w:numPr>
        <w:jc w:val="both"/>
        <w:rPr>
          <w:rFonts w:cs="Arial"/>
          <w:sz w:val="22"/>
          <w:szCs w:val="22"/>
        </w:rPr>
      </w:pPr>
      <w:r w:rsidRPr="009121C1">
        <w:rPr>
          <w:rFonts w:cs="Arial"/>
          <w:sz w:val="22"/>
          <w:szCs w:val="22"/>
        </w:rPr>
        <w:t xml:space="preserve">Revisions have been made relating to the use of </w:t>
      </w:r>
      <w:r w:rsidRPr="009121C1">
        <w:rPr>
          <w:rFonts w:cs="Arial"/>
          <w:sz w:val="22"/>
          <w:szCs w:val="22"/>
        </w:rPr>
        <w:t>Individual Training Accounts (ITAs)</w:t>
      </w:r>
      <w:r w:rsidRPr="009121C1">
        <w:rPr>
          <w:rFonts w:cs="Arial"/>
          <w:sz w:val="22"/>
          <w:szCs w:val="22"/>
        </w:rPr>
        <w:t xml:space="preserve"> for out-of-school youth training services</w:t>
      </w:r>
      <w:r w:rsidR="009121C1">
        <w:rPr>
          <w:rFonts w:cs="Arial"/>
          <w:sz w:val="22"/>
          <w:szCs w:val="22"/>
        </w:rPr>
        <w:t>;</w:t>
      </w:r>
    </w:p>
    <w:p w14:paraId="637BDED4" w14:textId="3EB1B719" w:rsidR="00C56FBE" w:rsidRPr="009121C1" w:rsidRDefault="00C56FBE" w:rsidP="009121C1">
      <w:pPr>
        <w:pStyle w:val="ListParagraph"/>
        <w:numPr>
          <w:ilvl w:val="0"/>
          <w:numId w:val="16"/>
        </w:numPr>
        <w:jc w:val="both"/>
        <w:rPr>
          <w:rFonts w:cs="Arial"/>
          <w:i/>
          <w:sz w:val="22"/>
          <w:szCs w:val="22"/>
        </w:rPr>
      </w:pPr>
      <w:r w:rsidRPr="009121C1">
        <w:rPr>
          <w:rFonts w:cs="Arial"/>
          <w:sz w:val="22"/>
          <w:szCs w:val="22"/>
        </w:rPr>
        <w:t xml:space="preserve">Provisions have been added to the section titled </w:t>
      </w:r>
      <w:r w:rsidRPr="009121C1">
        <w:rPr>
          <w:rFonts w:cs="Arial"/>
          <w:i/>
          <w:sz w:val="22"/>
          <w:szCs w:val="22"/>
        </w:rPr>
        <w:t>Local Area ITA Policy Requirements</w:t>
      </w:r>
      <w:r w:rsidR="009121C1">
        <w:rPr>
          <w:rFonts w:cs="Arial"/>
          <w:i/>
          <w:sz w:val="22"/>
          <w:szCs w:val="22"/>
        </w:rPr>
        <w:t>;</w:t>
      </w:r>
    </w:p>
    <w:p w14:paraId="1D1BFF25" w14:textId="42CA08E8" w:rsidR="00C56FBE" w:rsidRPr="009121C1" w:rsidRDefault="00C56FBE" w:rsidP="009121C1">
      <w:pPr>
        <w:pStyle w:val="ListParagraph"/>
        <w:numPr>
          <w:ilvl w:val="0"/>
          <w:numId w:val="16"/>
        </w:numPr>
        <w:jc w:val="both"/>
        <w:rPr>
          <w:rFonts w:cs="Arial"/>
          <w:sz w:val="22"/>
          <w:szCs w:val="22"/>
        </w:rPr>
      </w:pPr>
      <w:r w:rsidRPr="009121C1">
        <w:rPr>
          <w:rFonts w:cs="Arial"/>
          <w:sz w:val="22"/>
          <w:szCs w:val="22"/>
        </w:rPr>
        <w:t xml:space="preserve">The opening paragraph of the subsection titled </w:t>
      </w:r>
      <w:r w:rsidRPr="009121C1">
        <w:rPr>
          <w:rFonts w:cs="Arial"/>
          <w:i/>
          <w:sz w:val="22"/>
          <w:szCs w:val="22"/>
        </w:rPr>
        <w:t>Limited Exceptions to the Use of Individual Training Accounts</w:t>
      </w:r>
      <w:r w:rsidRPr="009121C1">
        <w:rPr>
          <w:rFonts w:cs="Arial"/>
          <w:sz w:val="22"/>
          <w:szCs w:val="22"/>
        </w:rPr>
        <w:t xml:space="preserve"> has been revised</w:t>
      </w:r>
      <w:r w:rsidR="009121C1">
        <w:rPr>
          <w:rFonts w:cs="Arial"/>
          <w:sz w:val="22"/>
          <w:szCs w:val="22"/>
        </w:rPr>
        <w:t>;</w:t>
      </w:r>
    </w:p>
    <w:p w14:paraId="06A8F387" w14:textId="5BC4896A" w:rsidR="00C56FBE" w:rsidRPr="009121C1" w:rsidRDefault="00C56FBE" w:rsidP="009121C1">
      <w:pPr>
        <w:pStyle w:val="ListParagraph"/>
        <w:numPr>
          <w:ilvl w:val="0"/>
          <w:numId w:val="16"/>
        </w:numPr>
        <w:jc w:val="both"/>
        <w:rPr>
          <w:rFonts w:cs="Arial"/>
          <w:sz w:val="22"/>
          <w:szCs w:val="22"/>
        </w:rPr>
      </w:pPr>
      <w:r w:rsidRPr="009121C1">
        <w:rPr>
          <w:rFonts w:cs="Arial"/>
          <w:sz w:val="22"/>
          <w:szCs w:val="22"/>
        </w:rPr>
        <w:t xml:space="preserve">Provisions have been added to the section titled </w:t>
      </w:r>
      <w:r w:rsidRPr="009121C1">
        <w:rPr>
          <w:rFonts w:cs="Arial"/>
          <w:i/>
          <w:sz w:val="22"/>
          <w:szCs w:val="22"/>
        </w:rPr>
        <w:t>Consumer Choice Requirements</w:t>
      </w:r>
      <w:r w:rsidR="009121C1" w:rsidRPr="009121C1">
        <w:rPr>
          <w:rFonts w:cs="Arial"/>
          <w:sz w:val="22"/>
          <w:szCs w:val="22"/>
        </w:rPr>
        <w:t>; and</w:t>
      </w:r>
    </w:p>
    <w:p w14:paraId="78E9250F" w14:textId="1DD89F3F" w:rsidR="00C56FBE" w:rsidRPr="009121C1" w:rsidRDefault="00740D68" w:rsidP="009121C1">
      <w:pPr>
        <w:pStyle w:val="ListParagraph"/>
        <w:numPr>
          <w:ilvl w:val="0"/>
          <w:numId w:val="16"/>
        </w:numPr>
        <w:jc w:val="both"/>
        <w:rPr>
          <w:rFonts w:cs="Arial"/>
          <w:sz w:val="22"/>
          <w:szCs w:val="22"/>
        </w:rPr>
      </w:pPr>
      <w:r w:rsidRPr="009121C1">
        <w:rPr>
          <w:rFonts w:cs="Arial"/>
          <w:sz w:val="22"/>
          <w:szCs w:val="22"/>
        </w:rPr>
        <w:t xml:space="preserve">Clarifying language </w:t>
      </w:r>
      <w:r w:rsidR="00C56FBE" w:rsidRPr="009121C1">
        <w:rPr>
          <w:rFonts w:cs="Arial"/>
          <w:sz w:val="22"/>
          <w:szCs w:val="22"/>
        </w:rPr>
        <w:t xml:space="preserve">has been added to the section titled </w:t>
      </w:r>
      <w:r w:rsidR="00C56FBE" w:rsidRPr="009121C1">
        <w:rPr>
          <w:rFonts w:cs="Arial"/>
          <w:i/>
          <w:sz w:val="22"/>
          <w:szCs w:val="22"/>
        </w:rPr>
        <w:t>Coordination of Individual training Accounts with other Grant Assistance</w:t>
      </w:r>
      <w:r w:rsidRPr="009121C1">
        <w:rPr>
          <w:rFonts w:cs="Arial"/>
          <w:sz w:val="22"/>
          <w:szCs w:val="22"/>
        </w:rPr>
        <w:t>, identify other sources of training grants</w:t>
      </w:r>
      <w:r w:rsidR="009121C1">
        <w:rPr>
          <w:rFonts w:cs="Arial"/>
          <w:sz w:val="22"/>
          <w:szCs w:val="22"/>
        </w:rPr>
        <w:t>.</w:t>
      </w:r>
    </w:p>
    <w:p w14:paraId="1036F12D" w14:textId="77777777" w:rsidR="00E12464" w:rsidRDefault="00E12464" w:rsidP="00E12464">
      <w:pPr>
        <w:jc w:val="both"/>
        <w:rPr>
          <w:rFonts w:cs="Arial"/>
          <w:sz w:val="22"/>
          <w:szCs w:val="22"/>
        </w:rPr>
      </w:pPr>
    </w:p>
    <w:p w14:paraId="1A61F168" w14:textId="77777777" w:rsidR="009121C1" w:rsidRPr="003B5FF3" w:rsidRDefault="009121C1" w:rsidP="00E12464">
      <w:pPr>
        <w:jc w:val="both"/>
        <w:rPr>
          <w:rFonts w:cs="Arial"/>
          <w:sz w:val="22"/>
          <w:szCs w:val="22"/>
        </w:rPr>
      </w:pPr>
    </w:p>
    <w:p w14:paraId="26CEF78F" w14:textId="0BFA2DD8" w:rsidR="00E12464" w:rsidRPr="003B5FF3" w:rsidRDefault="003B5FF3" w:rsidP="005C5351">
      <w:pPr>
        <w:pStyle w:val="Heading1"/>
        <w:spacing w:before="0"/>
        <w:rPr>
          <w:rFonts w:ascii="Arial" w:hAnsi="Arial" w:cs="Arial"/>
          <w:b/>
          <w:color w:val="0070C0"/>
          <w:sz w:val="22"/>
          <w:szCs w:val="22"/>
        </w:rPr>
      </w:pPr>
      <w:r w:rsidRPr="003B5FF3">
        <w:rPr>
          <w:rFonts w:ascii="Arial" w:hAnsi="Arial" w:cs="Arial"/>
          <w:b/>
          <w:color w:val="0070C0"/>
          <w:sz w:val="22"/>
          <w:szCs w:val="22"/>
        </w:rPr>
        <w:t>BACKGROUND</w:t>
      </w:r>
    </w:p>
    <w:p w14:paraId="67C5E180" w14:textId="77777777" w:rsidR="00B4330B" w:rsidRPr="003B5FF3" w:rsidRDefault="00B4330B" w:rsidP="005C5351">
      <w:pPr>
        <w:rPr>
          <w:rFonts w:cs="Arial"/>
          <w:sz w:val="22"/>
          <w:szCs w:val="22"/>
        </w:rPr>
      </w:pPr>
    </w:p>
    <w:p w14:paraId="6CFBE2DE" w14:textId="404AF104" w:rsidR="00E12464" w:rsidRPr="003B5FF3" w:rsidRDefault="00E12464" w:rsidP="00E12464">
      <w:pPr>
        <w:jc w:val="both"/>
        <w:rPr>
          <w:rFonts w:cs="Arial"/>
          <w:sz w:val="22"/>
          <w:szCs w:val="22"/>
        </w:rPr>
      </w:pPr>
      <w:r w:rsidRPr="003B5FF3">
        <w:rPr>
          <w:rFonts w:cs="Arial"/>
          <w:sz w:val="22"/>
          <w:szCs w:val="22"/>
        </w:rPr>
        <w:t xml:space="preserve">WIOA </w:t>
      </w:r>
      <w:r w:rsidR="00E251EE" w:rsidRPr="003B5FF3">
        <w:rPr>
          <w:rFonts w:cs="Arial"/>
          <w:sz w:val="22"/>
          <w:szCs w:val="22"/>
        </w:rPr>
        <w:t xml:space="preserve">states that </w:t>
      </w:r>
      <w:r w:rsidR="00750A6E" w:rsidRPr="003B5FF3">
        <w:rPr>
          <w:rFonts w:cs="Arial"/>
          <w:sz w:val="22"/>
          <w:szCs w:val="22"/>
        </w:rPr>
        <w:t>t</w:t>
      </w:r>
      <w:r w:rsidR="00E251EE" w:rsidRPr="003B5FF3">
        <w:rPr>
          <w:rFonts w:cs="Arial"/>
          <w:sz w:val="22"/>
          <w:szCs w:val="22"/>
        </w:rPr>
        <w:t xml:space="preserve">raining services </w:t>
      </w:r>
      <w:r w:rsidR="00750A6E" w:rsidRPr="003B5FF3">
        <w:rPr>
          <w:rFonts w:cs="Arial"/>
          <w:sz w:val="22"/>
          <w:szCs w:val="22"/>
        </w:rPr>
        <w:t xml:space="preserve">must </w:t>
      </w:r>
      <w:r w:rsidR="00E251EE" w:rsidRPr="003B5FF3">
        <w:rPr>
          <w:rFonts w:cs="Arial"/>
          <w:sz w:val="22"/>
          <w:szCs w:val="22"/>
        </w:rPr>
        <w:t>be provided in a manner that maximizes consumer choice in the selection of eligible provider</w:t>
      </w:r>
      <w:r w:rsidR="00750A6E" w:rsidRPr="003B5FF3">
        <w:rPr>
          <w:rFonts w:cs="Arial"/>
          <w:sz w:val="22"/>
          <w:szCs w:val="22"/>
        </w:rPr>
        <w:t>s</w:t>
      </w:r>
      <w:r w:rsidR="00E251EE" w:rsidRPr="003B5FF3">
        <w:rPr>
          <w:rFonts w:cs="Arial"/>
          <w:sz w:val="22"/>
          <w:szCs w:val="22"/>
        </w:rPr>
        <w:t>.</w:t>
      </w:r>
      <w:r w:rsidR="00E251EE" w:rsidRPr="003B5FF3">
        <w:rPr>
          <w:rStyle w:val="FootnoteReference"/>
          <w:rFonts w:cs="Arial"/>
          <w:sz w:val="22"/>
          <w:szCs w:val="22"/>
        </w:rPr>
        <w:footnoteReference w:id="1"/>
      </w:r>
    </w:p>
    <w:p w14:paraId="163B4826" w14:textId="77777777" w:rsidR="00A218DF" w:rsidRPr="003B5FF3" w:rsidRDefault="00A218DF" w:rsidP="00E12464">
      <w:pPr>
        <w:jc w:val="both"/>
        <w:rPr>
          <w:rFonts w:cs="Arial"/>
          <w:sz w:val="22"/>
          <w:szCs w:val="22"/>
        </w:rPr>
      </w:pPr>
    </w:p>
    <w:p w14:paraId="09DD4B9D" w14:textId="08B6E160" w:rsidR="009039AE" w:rsidRPr="003B5FF3" w:rsidRDefault="00E329B9" w:rsidP="00B4330B">
      <w:pPr>
        <w:jc w:val="both"/>
        <w:rPr>
          <w:rFonts w:cs="Arial"/>
          <w:sz w:val="22"/>
          <w:szCs w:val="22"/>
        </w:rPr>
      </w:pPr>
      <w:r w:rsidRPr="003B5FF3">
        <w:rPr>
          <w:rFonts w:cs="Arial"/>
          <w:sz w:val="22"/>
          <w:szCs w:val="22"/>
        </w:rPr>
        <w:t xml:space="preserve">WIOA uses </w:t>
      </w:r>
      <w:r w:rsidR="006F3F3C" w:rsidRPr="003B5FF3">
        <w:rPr>
          <w:rFonts w:cs="Arial"/>
          <w:sz w:val="22"/>
          <w:szCs w:val="22"/>
        </w:rPr>
        <w:t xml:space="preserve">Individual Training Accounts (ITAs), eligible training provider lists, and consumer information regarding training providers </w:t>
      </w:r>
      <w:r w:rsidRPr="003B5FF3">
        <w:rPr>
          <w:rFonts w:cs="Arial"/>
          <w:sz w:val="22"/>
          <w:szCs w:val="22"/>
        </w:rPr>
        <w:t>t</w:t>
      </w:r>
      <w:r w:rsidR="00A218DF" w:rsidRPr="003B5FF3">
        <w:rPr>
          <w:rFonts w:cs="Arial"/>
          <w:sz w:val="22"/>
          <w:szCs w:val="22"/>
        </w:rPr>
        <w:t xml:space="preserve">o </w:t>
      </w:r>
      <w:r w:rsidR="00457996" w:rsidRPr="003B5FF3">
        <w:rPr>
          <w:rFonts w:cs="Arial"/>
          <w:sz w:val="22"/>
          <w:szCs w:val="22"/>
        </w:rPr>
        <w:t xml:space="preserve">help </w:t>
      </w:r>
      <w:r w:rsidR="00A218DF" w:rsidRPr="003B5FF3">
        <w:rPr>
          <w:rFonts w:cs="Arial"/>
          <w:sz w:val="22"/>
          <w:szCs w:val="22"/>
        </w:rPr>
        <w:t>participant</w:t>
      </w:r>
      <w:r w:rsidR="006F3F3C" w:rsidRPr="003B5FF3">
        <w:rPr>
          <w:rFonts w:cs="Arial"/>
          <w:sz w:val="22"/>
          <w:szCs w:val="22"/>
        </w:rPr>
        <w:t>s</w:t>
      </w:r>
      <w:r w:rsidR="00A218DF" w:rsidRPr="003B5FF3">
        <w:rPr>
          <w:rFonts w:cs="Arial"/>
          <w:sz w:val="22"/>
          <w:szCs w:val="22"/>
        </w:rPr>
        <w:t xml:space="preserve"> make responsible and informed choice</w:t>
      </w:r>
      <w:r w:rsidR="00457996" w:rsidRPr="003B5FF3">
        <w:rPr>
          <w:rFonts w:cs="Arial"/>
          <w:sz w:val="22"/>
          <w:szCs w:val="22"/>
        </w:rPr>
        <w:t>s</w:t>
      </w:r>
      <w:r w:rsidR="00A218DF" w:rsidRPr="003B5FF3">
        <w:rPr>
          <w:rFonts w:cs="Arial"/>
          <w:sz w:val="22"/>
          <w:szCs w:val="22"/>
        </w:rPr>
        <w:t xml:space="preserve"> about where to receive training</w:t>
      </w:r>
      <w:r w:rsidR="006F3F3C" w:rsidRPr="003B5FF3">
        <w:rPr>
          <w:rFonts w:cs="Arial"/>
          <w:sz w:val="22"/>
          <w:szCs w:val="22"/>
        </w:rPr>
        <w:t>.</w:t>
      </w:r>
    </w:p>
    <w:p w14:paraId="09AA7FF5" w14:textId="77777777" w:rsidR="009039AE" w:rsidRPr="003B5FF3" w:rsidRDefault="009039AE" w:rsidP="009039AE">
      <w:pPr>
        <w:jc w:val="both"/>
        <w:rPr>
          <w:rFonts w:cs="Arial"/>
          <w:sz w:val="22"/>
          <w:szCs w:val="22"/>
        </w:rPr>
      </w:pPr>
    </w:p>
    <w:p w14:paraId="6CFB9D23" w14:textId="6AF0CEA1" w:rsidR="009039AE" w:rsidRPr="003B5FF3" w:rsidRDefault="009039AE" w:rsidP="009039AE">
      <w:pPr>
        <w:jc w:val="both"/>
        <w:rPr>
          <w:rFonts w:cs="Arial"/>
          <w:sz w:val="22"/>
          <w:szCs w:val="22"/>
        </w:rPr>
      </w:pPr>
      <w:r w:rsidRPr="003B5FF3">
        <w:rPr>
          <w:rFonts w:cs="Arial"/>
          <w:sz w:val="22"/>
          <w:szCs w:val="22"/>
        </w:rPr>
        <w:t>This policy concerns ITAs established on behalf of participa</w:t>
      </w:r>
      <w:r w:rsidR="00284982" w:rsidRPr="003B5FF3">
        <w:rPr>
          <w:rFonts w:cs="Arial"/>
          <w:sz w:val="22"/>
          <w:szCs w:val="22"/>
        </w:rPr>
        <w:t>nts for the payment o</w:t>
      </w:r>
      <w:r w:rsidRPr="003B5FF3">
        <w:rPr>
          <w:rFonts w:cs="Arial"/>
          <w:sz w:val="22"/>
          <w:szCs w:val="22"/>
        </w:rPr>
        <w:t>f training expenses to eligible training providers using funds from WIOA.</w:t>
      </w:r>
    </w:p>
    <w:p w14:paraId="0BC83E54" w14:textId="77777777" w:rsidR="00E12464" w:rsidRDefault="00E12464" w:rsidP="00E12464">
      <w:pPr>
        <w:jc w:val="both"/>
        <w:rPr>
          <w:rFonts w:cs="Arial"/>
          <w:sz w:val="22"/>
          <w:szCs w:val="22"/>
        </w:rPr>
      </w:pPr>
    </w:p>
    <w:p w14:paraId="3A76DB21" w14:textId="77777777" w:rsidR="009121C1" w:rsidRPr="003B5FF3" w:rsidRDefault="009121C1" w:rsidP="00E12464">
      <w:pPr>
        <w:jc w:val="both"/>
        <w:rPr>
          <w:rFonts w:cs="Arial"/>
          <w:sz w:val="22"/>
          <w:szCs w:val="22"/>
        </w:rPr>
      </w:pPr>
    </w:p>
    <w:p w14:paraId="1C0BE4AD" w14:textId="3FBB1905" w:rsidR="00E12464" w:rsidRPr="003B5FF3" w:rsidRDefault="003B5FF3" w:rsidP="005C5351">
      <w:pPr>
        <w:pStyle w:val="Heading1"/>
        <w:spacing w:before="0"/>
        <w:rPr>
          <w:rFonts w:ascii="Arial" w:hAnsi="Arial" w:cs="Arial"/>
          <w:b/>
          <w:color w:val="0070C0"/>
          <w:sz w:val="22"/>
          <w:szCs w:val="22"/>
        </w:rPr>
      </w:pPr>
      <w:r w:rsidRPr="003B5FF3">
        <w:rPr>
          <w:rFonts w:ascii="Arial" w:hAnsi="Arial" w:cs="Arial"/>
          <w:b/>
          <w:color w:val="0070C0"/>
          <w:sz w:val="22"/>
          <w:szCs w:val="22"/>
        </w:rPr>
        <w:t>ACTION</w:t>
      </w:r>
    </w:p>
    <w:p w14:paraId="77ECF623" w14:textId="77777777" w:rsidR="00E329B9" w:rsidRPr="003B5FF3" w:rsidRDefault="00E329B9" w:rsidP="005C5351">
      <w:pPr>
        <w:rPr>
          <w:rFonts w:cs="Arial"/>
          <w:sz w:val="22"/>
          <w:szCs w:val="22"/>
        </w:rPr>
      </w:pPr>
    </w:p>
    <w:p w14:paraId="551AF60B" w14:textId="77777777" w:rsidR="00B4330B" w:rsidRPr="003B5FF3" w:rsidRDefault="00B4330B" w:rsidP="00B4330B">
      <w:pPr>
        <w:jc w:val="both"/>
        <w:rPr>
          <w:rFonts w:cs="Arial"/>
          <w:color w:val="000000"/>
          <w:sz w:val="22"/>
          <w:szCs w:val="22"/>
        </w:rPr>
      </w:pPr>
      <w:r w:rsidRPr="003B5FF3">
        <w:rPr>
          <w:rFonts w:cs="Arial"/>
          <w:color w:val="000000"/>
          <w:sz w:val="22"/>
          <w:szCs w:val="22"/>
        </w:rPr>
        <w:t xml:space="preserve">This policy will be considered final after a 10-day review period.  Questions and comments must be submitted in writing to the WIOA Policy Mailbox at </w:t>
      </w:r>
      <w:hyperlink r:id="rId8" w:history="1">
        <w:r w:rsidRPr="003B5FF3">
          <w:rPr>
            <w:rStyle w:val="Hyperlink"/>
            <w:rFonts w:cs="Arial"/>
            <w:sz w:val="22"/>
            <w:szCs w:val="22"/>
            <w:u w:val="none"/>
          </w:rPr>
          <w:t>ndol.wioa_policy@nebraska.gov</w:t>
        </w:r>
      </w:hyperlink>
      <w:r w:rsidRPr="003B5FF3">
        <w:rPr>
          <w:rFonts w:cs="Arial"/>
          <w:color w:val="000000"/>
          <w:sz w:val="22"/>
          <w:szCs w:val="22"/>
        </w:rPr>
        <w:t>.</w:t>
      </w:r>
    </w:p>
    <w:p w14:paraId="58AB93B3" w14:textId="77777777" w:rsidR="00E329B9" w:rsidRPr="003B5FF3" w:rsidRDefault="00E329B9" w:rsidP="005C5351">
      <w:pPr>
        <w:rPr>
          <w:rFonts w:cs="Arial"/>
          <w:sz w:val="22"/>
          <w:szCs w:val="22"/>
        </w:rPr>
      </w:pPr>
    </w:p>
    <w:p w14:paraId="1E706397" w14:textId="77777777" w:rsidR="009121C1" w:rsidRDefault="009121C1">
      <w:pPr>
        <w:spacing w:after="160" w:line="259" w:lineRule="auto"/>
        <w:rPr>
          <w:rFonts w:cs="Arial"/>
          <w:sz w:val="22"/>
          <w:szCs w:val="22"/>
        </w:rPr>
      </w:pPr>
      <w:r>
        <w:rPr>
          <w:rFonts w:cs="Arial"/>
          <w:sz w:val="22"/>
          <w:szCs w:val="22"/>
        </w:rPr>
        <w:br w:type="page"/>
      </w:r>
    </w:p>
    <w:p w14:paraId="409E7E10" w14:textId="7CC14B3D" w:rsidR="0042616B" w:rsidRPr="003B5FF3" w:rsidRDefault="00D07FED" w:rsidP="0042616B">
      <w:pPr>
        <w:jc w:val="both"/>
        <w:rPr>
          <w:rFonts w:cs="Arial"/>
          <w:iCs/>
          <w:sz w:val="22"/>
          <w:szCs w:val="22"/>
        </w:rPr>
      </w:pPr>
      <w:r w:rsidRPr="003B5FF3">
        <w:rPr>
          <w:rFonts w:cs="Arial"/>
          <w:sz w:val="22"/>
          <w:szCs w:val="22"/>
        </w:rPr>
        <w:t>Each l</w:t>
      </w:r>
      <w:r w:rsidR="0042616B" w:rsidRPr="003B5FF3">
        <w:rPr>
          <w:rFonts w:cs="Arial"/>
          <w:iCs/>
          <w:sz w:val="22"/>
          <w:szCs w:val="22"/>
        </w:rPr>
        <w:t xml:space="preserve">ocal </w:t>
      </w:r>
      <w:r w:rsidRPr="003B5FF3">
        <w:rPr>
          <w:rFonts w:cs="Arial"/>
          <w:iCs/>
          <w:sz w:val="22"/>
          <w:szCs w:val="22"/>
        </w:rPr>
        <w:t xml:space="preserve">area </w:t>
      </w:r>
      <w:r w:rsidR="0042616B" w:rsidRPr="003B5FF3">
        <w:rPr>
          <w:rFonts w:cs="Arial"/>
          <w:iCs/>
          <w:sz w:val="22"/>
          <w:szCs w:val="22"/>
        </w:rPr>
        <w:t>board must:</w:t>
      </w:r>
    </w:p>
    <w:p w14:paraId="1B570E6C" w14:textId="77777777" w:rsidR="0042616B" w:rsidRPr="003B5FF3" w:rsidRDefault="0042616B" w:rsidP="0042616B">
      <w:pPr>
        <w:jc w:val="both"/>
        <w:rPr>
          <w:rFonts w:cs="Arial"/>
          <w:iCs/>
          <w:sz w:val="22"/>
          <w:szCs w:val="22"/>
        </w:rPr>
      </w:pPr>
    </w:p>
    <w:p w14:paraId="75D0FA35" w14:textId="744346E3" w:rsidR="0042616B" w:rsidRPr="003B5FF3" w:rsidRDefault="0042616B" w:rsidP="0042616B">
      <w:pPr>
        <w:pStyle w:val="ListParagraph"/>
        <w:numPr>
          <w:ilvl w:val="0"/>
          <w:numId w:val="15"/>
        </w:numPr>
        <w:jc w:val="both"/>
        <w:rPr>
          <w:rFonts w:cs="Arial"/>
          <w:iCs/>
          <w:sz w:val="22"/>
          <w:szCs w:val="22"/>
        </w:rPr>
      </w:pPr>
      <w:r w:rsidRPr="003B5FF3">
        <w:rPr>
          <w:rFonts w:cs="Arial"/>
          <w:iCs/>
          <w:sz w:val="22"/>
          <w:szCs w:val="22"/>
        </w:rPr>
        <w:t xml:space="preserve">establish a policy on ITAs that addresses the provisions of this policy; and </w:t>
      </w:r>
    </w:p>
    <w:p w14:paraId="7ED39D6E" w14:textId="4E28D0FE" w:rsidR="00AC5134" w:rsidRPr="002D69F4" w:rsidRDefault="0042616B" w:rsidP="002826E4">
      <w:pPr>
        <w:pStyle w:val="ListParagraph"/>
        <w:numPr>
          <w:ilvl w:val="0"/>
          <w:numId w:val="15"/>
        </w:numPr>
        <w:jc w:val="both"/>
        <w:rPr>
          <w:rFonts w:cs="Arial"/>
          <w:b/>
          <w:sz w:val="22"/>
          <w:szCs w:val="22"/>
        </w:rPr>
      </w:pPr>
      <w:r w:rsidRPr="002D69F4">
        <w:rPr>
          <w:rFonts w:cs="Arial"/>
          <w:iCs/>
          <w:sz w:val="22"/>
          <w:szCs w:val="22"/>
        </w:rPr>
        <w:t>ensure their local area WIOA plans address the requirements of this policy.</w:t>
      </w:r>
    </w:p>
    <w:p w14:paraId="4C197ABF" w14:textId="77777777" w:rsidR="002D69F4" w:rsidRPr="002D69F4" w:rsidRDefault="002D69F4" w:rsidP="002D69F4">
      <w:pPr>
        <w:jc w:val="both"/>
        <w:rPr>
          <w:rFonts w:cs="Arial"/>
          <w:b/>
          <w:sz w:val="22"/>
          <w:szCs w:val="22"/>
        </w:rPr>
      </w:pPr>
    </w:p>
    <w:p w14:paraId="58A95838" w14:textId="77777777" w:rsidR="009121C1" w:rsidRPr="003B5FF3" w:rsidRDefault="009121C1" w:rsidP="00AC5134">
      <w:pPr>
        <w:jc w:val="both"/>
        <w:rPr>
          <w:rFonts w:cs="Arial"/>
          <w:b/>
          <w:sz w:val="22"/>
          <w:szCs w:val="22"/>
        </w:rPr>
      </w:pPr>
    </w:p>
    <w:p w14:paraId="01873387" w14:textId="3FEAAD90" w:rsidR="00E12464" w:rsidRPr="003B5FF3" w:rsidRDefault="003B5FF3" w:rsidP="005C5351">
      <w:pPr>
        <w:pStyle w:val="Heading1"/>
        <w:spacing w:before="0"/>
        <w:rPr>
          <w:rFonts w:ascii="Arial" w:hAnsi="Arial" w:cs="Arial"/>
          <w:b/>
          <w:color w:val="0070C0"/>
          <w:sz w:val="22"/>
          <w:szCs w:val="22"/>
        </w:rPr>
      </w:pPr>
      <w:r w:rsidRPr="003B5FF3">
        <w:rPr>
          <w:rFonts w:ascii="Arial" w:hAnsi="Arial" w:cs="Arial"/>
          <w:b/>
          <w:color w:val="0070C0"/>
          <w:sz w:val="22"/>
          <w:szCs w:val="22"/>
        </w:rPr>
        <w:t>POLICY</w:t>
      </w:r>
    </w:p>
    <w:p w14:paraId="3AD080E9" w14:textId="77777777" w:rsidR="009039AE" w:rsidRPr="003B5FF3" w:rsidRDefault="009039AE" w:rsidP="00E12464">
      <w:pPr>
        <w:jc w:val="both"/>
        <w:rPr>
          <w:rFonts w:cs="Arial"/>
          <w:b/>
          <w:sz w:val="22"/>
          <w:szCs w:val="22"/>
        </w:rPr>
      </w:pPr>
    </w:p>
    <w:p w14:paraId="2F858BAE" w14:textId="5DEDD18D" w:rsidR="00B4330B" w:rsidRPr="003B5FF3" w:rsidRDefault="009039AE" w:rsidP="00E12464">
      <w:pPr>
        <w:jc w:val="both"/>
        <w:rPr>
          <w:rFonts w:cs="Arial"/>
          <w:sz w:val="22"/>
          <w:szCs w:val="22"/>
        </w:rPr>
      </w:pPr>
      <w:r w:rsidRPr="003B5FF3">
        <w:rPr>
          <w:rFonts w:cs="Arial"/>
          <w:sz w:val="22"/>
          <w:szCs w:val="22"/>
        </w:rPr>
        <w:t xml:space="preserve">WIOA </w:t>
      </w:r>
      <w:r w:rsidR="00457996" w:rsidRPr="003B5FF3">
        <w:rPr>
          <w:rFonts w:cs="Arial"/>
          <w:sz w:val="22"/>
          <w:szCs w:val="22"/>
        </w:rPr>
        <w:t xml:space="preserve">requires </w:t>
      </w:r>
      <w:r w:rsidRPr="003B5FF3">
        <w:rPr>
          <w:rFonts w:cs="Arial"/>
          <w:sz w:val="22"/>
          <w:szCs w:val="22"/>
        </w:rPr>
        <w:t>that all training services (except for limited exceptions identified later in this policy) be provided through the use of</w:t>
      </w:r>
      <w:r w:rsidR="00470C15" w:rsidRPr="003B5FF3">
        <w:rPr>
          <w:rFonts w:cs="Arial"/>
          <w:sz w:val="22"/>
          <w:szCs w:val="22"/>
        </w:rPr>
        <w:t xml:space="preserve"> Individual Training Accounts</w:t>
      </w:r>
      <w:r w:rsidRPr="003B5FF3">
        <w:rPr>
          <w:rFonts w:cs="Arial"/>
          <w:sz w:val="22"/>
          <w:szCs w:val="22"/>
        </w:rPr>
        <w:t xml:space="preserve"> </w:t>
      </w:r>
      <w:r w:rsidR="00470C15" w:rsidRPr="003B5FF3">
        <w:rPr>
          <w:rFonts w:cs="Arial"/>
          <w:sz w:val="22"/>
          <w:szCs w:val="22"/>
        </w:rPr>
        <w:t>(</w:t>
      </w:r>
      <w:r w:rsidRPr="003B5FF3">
        <w:rPr>
          <w:rFonts w:cs="Arial"/>
          <w:sz w:val="22"/>
          <w:szCs w:val="22"/>
        </w:rPr>
        <w:t>ITAs</w:t>
      </w:r>
      <w:r w:rsidR="00470C15" w:rsidRPr="003B5FF3">
        <w:rPr>
          <w:rFonts w:cs="Arial"/>
          <w:sz w:val="22"/>
          <w:szCs w:val="22"/>
        </w:rPr>
        <w:t>)</w:t>
      </w:r>
      <w:r w:rsidRPr="003B5FF3">
        <w:rPr>
          <w:rFonts w:cs="Arial"/>
          <w:sz w:val="22"/>
          <w:szCs w:val="22"/>
        </w:rPr>
        <w:t xml:space="preserve"> and that eligible individuals </w:t>
      </w:r>
      <w:r w:rsidR="00E329B9" w:rsidRPr="003B5FF3">
        <w:rPr>
          <w:rFonts w:cs="Arial"/>
          <w:sz w:val="22"/>
          <w:szCs w:val="22"/>
        </w:rPr>
        <w:t xml:space="preserve">must </w:t>
      </w:r>
      <w:r w:rsidRPr="003B5FF3">
        <w:rPr>
          <w:rFonts w:cs="Arial"/>
          <w:sz w:val="22"/>
          <w:szCs w:val="22"/>
        </w:rPr>
        <w:t xml:space="preserve">receive ITAs through the </w:t>
      </w:r>
      <w:r w:rsidR="001A602C" w:rsidRPr="003B5FF3">
        <w:rPr>
          <w:rFonts w:cs="Arial"/>
          <w:sz w:val="22"/>
          <w:szCs w:val="22"/>
        </w:rPr>
        <w:t xml:space="preserve">one-stop delivery </w:t>
      </w:r>
      <w:r w:rsidRPr="003B5FF3">
        <w:rPr>
          <w:rFonts w:cs="Arial"/>
          <w:sz w:val="22"/>
          <w:szCs w:val="22"/>
        </w:rPr>
        <w:t>system.</w:t>
      </w:r>
      <w:r w:rsidRPr="003B5FF3">
        <w:rPr>
          <w:rStyle w:val="FootnoteReference"/>
          <w:rFonts w:cs="Arial"/>
          <w:sz w:val="22"/>
          <w:szCs w:val="22"/>
        </w:rPr>
        <w:footnoteReference w:id="2"/>
      </w:r>
      <w:r w:rsidRPr="003B5FF3">
        <w:rPr>
          <w:rFonts w:cs="Arial"/>
          <w:sz w:val="22"/>
          <w:szCs w:val="22"/>
        </w:rPr>
        <w:t xml:space="preserve"> </w:t>
      </w:r>
    </w:p>
    <w:p w14:paraId="5A393325" w14:textId="77777777" w:rsidR="00B4330B" w:rsidRPr="003B5FF3" w:rsidRDefault="00B4330B" w:rsidP="00E12464">
      <w:pPr>
        <w:jc w:val="both"/>
        <w:rPr>
          <w:rFonts w:cs="Arial"/>
          <w:sz w:val="22"/>
          <w:szCs w:val="22"/>
        </w:rPr>
      </w:pPr>
    </w:p>
    <w:p w14:paraId="6BBD7F65" w14:textId="741CA126" w:rsidR="00B4330B" w:rsidRPr="003B5FF3" w:rsidRDefault="009039AE" w:rsidP="00E12464">
      <w:pPr>
        <w:jc w:val="both"/>
        <w:rPr>
          <w:rFonts w:cs="Arial"/>
          <w:sz w:val="22"/>
          <w:szCs w:val="22"/>
        </w:rPr>
      </w:pPr>
      <w:r w:rsidRPr="003B5FF3">
        <w:rPr>
          <w:rFonts w:cs="Arial"/>
          <w:sz w:val="22"/>
          <w:szCs w:val="22"/>
        </w:rPr>
        <w:t xml:space="preserve">ITAs are funded with </w:t>
      </w:r>
      <w:r w:rsidR="001A602C" w:rsidRPr="003B5FF3">
        <w:rPr>
          <w:rFonts w:cs="Arial"/>
          <w:sz w:val="22"/>
          <w:szCs w:val="22"/>
        </w:rPr>
        <w:t xml:space="preserve">WIOA </w:t>
      </w:r>
      <w:r w:rsidR="00E329B9" w:rsidRPr="003B5FF3">
        <w:rPr>
          <w:rFonts w:cs="Arial"/>
          <w:sz w:val="22"/>
          <w:szCs w:val="22"/>
        </w:rPr>
        <w:t xml:space="preserve">Title I </w:t>
      </w:r>
      <w:r w:rsidRPr="003B5FF3">
        <w:rPr>
          <w:rFonts w:cs="Arial"/>
          <w:sz w:val="22"/>
          <w:szCs w:val="22"/>
        </w:rPr>
        <w:t>adult and dislocated worker funds.</w:t>
      </w:r>
      <w:r w:rsidR="00B4330B" w:rsidRPr="003B5FF3">
        <w:rPr>
          <w:rFonts w:cs="Arial"/>
          <w:sz w:val="22"/>
          <w:szCs w:val="22"/>
        </w:rPr>
        <w:t xml:space="preserve">  In addition, ITAs may also be funded with </w:t>
      </w:r>
      <w:r w:rsidR="001A602C" w:rsidRPr="003B5FF3">
        <w:rPr>
          <w:rFonts w:cs="Arial"/>
          <w:sz w:val="22"/>
          <w:szCs w:val="22"/>
        </w:rPr>
        <w:t xml:space="preserve">WIOA </w:t>
      </w:r>
      <w:r w:rsidR="00B4330B" w:rsidRPr="003B5FF3">
        <w:rPr>
          <w:rFonts w:cs="Arial"/>
          <w:sz w:val="22"/>
          <w:szCs w:val="22"/>
        </w:rPr>
        <w:t xml:space="preserve">Title I funds for </w:t>
      </w:r>
      <w:r w:rsidR="00F75F89" w:rsidRPr="003B5FF3">
        <w:rPr>
          <w:rFonts w:cs="Arial"/>
          <w:sz w:val="22"/>
          <w:szCs w:val="22"/>
        </w:rPr>
        <w:t xml:space="preserve">out-of-school youth </w:t>
      </w:r>
      <w:r w:rsidRPr="003B5FF3">
        <w:rPr>
          <w:rFonts w:cs="Arial"/>
          <w:sz w:val="22"/>
          <w:szCs w:val="22"/>
        </w:rPr>
        <w:t>age 1</w:t>
      </w:r>
      <w:r w:rsidR="00B4330B" w:rsidRPr="003B5FF3">
        <w:rPr>
          <w:rFonts w:cs="Arial"/>
          <w:sz w:val="22"/>
          <w:szCs w:val="22"/>
        </w:rPr>
        <w:t>6</w:t>
      </w:r>
      <w:r w:rsidRPr="003B5FF3">
        <w:rPr>
          <w:rFonts w:cs="Arial"/>
          <w:sz w:val="22"/>
          <w:szCs w:val="22"/>
        </w:rPr>
        <w:t xml:space="preserve"> </w:t>
      </w:r>
      <w:r w:rsidR="00F75F89" w:rsidRPr="003B5FF3">
        <w:rPr>
          <w:rFonts w:cs="Arial"/>
          <w:sz w:val="22"/>
          <w:szCs w:val="22"/>
        </w:rPr>
        <w:t>to 24</w:t>
      </w:r>
      <w:r w:rsidR="00B4330B" w:rsidRPr="003B5FF3">
        <w:rPr>
          <w:rFonts w:cs="Arial"/>
          <w:sz w:val="22"/>
          <w:szCs w:val="22"/>
        </w:rPr>
        <w:t xml:space="preserve"> </w:t>
      </w:r>
      <w:r w:rsidR="00F75F89" w:rsidRPr="003B5FF3">
        <w:rPr>
          <w:rFonts w:cs="Arial"/>
          <w:sz w:val="22"/>
          <w:szCs w:val="22"/>
        </w:rPr>
        <w:t>when appropriate</w:t>
      </w:r>
      <w:r w:rsidRPr="003B5FF3">
        <w:rPr>
          <w:rFonts w:cs="Arial"/>
          <w:sz w:val="22"/>
          <w:szCs w:val="22"/>
        </w:rPr>
        <w:t>.</w:t>
      </w:r>
      <w:r w:rsidR="00F75F89" w:rsidRPr="003B5FF3">
        <w:rPr>
          <w:rStyle w:val="FootnoteReference"/>
          <w:rFonts w:cs="Arial"/>
          <w:sz w:val="22"/>
          <w:szCs w:val="22"/>
        </w:rPr>
        <w:footnoteReference w:id="3"/>
      </w:r>
      <w:r w:rsidRPr="003B5FF3">
        <w:rPr>
          <w:rFonts w:cs="Arial"/>
          <w:sz w:val="22"/>
          <w:szCs w:val="22"/>
        </w:rPr>
        <w:t xml:space="preserve"> </w:t>
      </w:r>
    </w:p>
    <w:p w14:paraId="60F69440" w14:textId="77777777" w:rsidR="00B4330B" w:rsidRPr="003B5FF3" w:rsidRDefault="00B4330B" w:rsidP="00E12464">
      <w:pPr>
        <w:jc w:val="both"/>
        <w:rPr>
          <w:rFonts w:cs="Arial"/>
          <w:sz w:val="22"/>
          <w:szCs w:val="22"/>
        </w:rPr>
      </w:pPr>
    </w:p>
    <w:p w14:paraId="76C22E17" w14:textId="744B3CD1" w:rsidR="00E0651A" w:rsidRPr="003B5FF3" w:rsidRDefault="008F4960" w:rsidP="00E12464">
      <w:pPr>
        <w:jc w:val="both"/>
        <w:rPr>
          <w:rFonts w:cs="Arial"/>
          <w:sz w:val="22"/>
          <w:szCs w:val="22"/>
        </w:rPr>
      </w:pPr>
      <w:r w:rsidRPr="003B5FF3">
        <w:rPr>
          <w:rFonts w:cs="Arial"/>
          <w:sz w:val="22"/>
          <w:szCs w:val="22"/>
        </w:rPr>
        <w:lastRenderedPageBreak/>
        <w:t xml:space="preserve">ITAs pay for training services for skills in </w:t>
      </w:r>
      <w:r w:rsidR="008E45E6" w:rsidRPr="003B5FF3">
        <w:rPr>
          <w:rFonts w:cs="Arial"/>
          <w:sz w:val="22"/>
          <w:szCs w:val="22"/>
        </w:rPr>
        <w:t>in-</w:t>
      </w:r>
      <w:r w:rsidRPr="003B5FF3">
        <w:rPr>
          <w:rFonts w:cs="Arial"/>
          <w:sz w:val="22"/>
          <w:szCs w:val="22"/>
        </w:rPr>
        <w:t>demand occupations as defined by the local bo</w:t>
      </w:r>
      <w:r w:rsidR="007F06BD" w:rsidRPr="003B5FF3">
        <w:rPr>
          <w:rFonts w:cs="Arial"/>
          <w:sz w:val="22"/>
          <w:szCs w:val="22"/>
        </w:rPr>
        <w:t>ard from training providers on the approved list of eligible training providers</w:t>
      </w:r>
      <w:r w:rsidR="00E0651A" w:rsidRPr="003B5FF3">
        <w:rPr>
          <w:rFonts w:cs="Arial"/>
          <w:sz w:val="22"/>
          <w:szCs w:val="22"/>
        </w:rPr>
        <w:t xml:space="preserve"> (ETPs)</w:t>
      </w:r>
      <w:r w:rsidR="007F06BD" w:rsidRPr="003B5FF3">
        <w:rPr>
          <w:rFonts w:cs="Arial"/>
          <w:sz w:val="22"/>
          <w:szCs w:val="22"/>
        </w:rPr>
        <w:t>.</w:t>
      </w:r>
      <w:r w:rsidR="008E45E6" w:rsidRPr="003B5FF3">
        <w:rPr>
          <w:rStyle w:val="FootnoteReference"/>
          <w:rFonts w:cs="Arial"/>
          <w:sz w:val="22"/>
          <w:szCs w:val="22"/>
        </w:rPr>
        <w:footnoteReference w:id="4"/>
      </w:r>
    </w:p>
    <w:p w14:paraId="4AF5FB70" w14:textId="77777777" w:rsidR="0076376D" w:rsidRPr="003B5FF3" w:rsidRDefault="0076376D" w:rsidP="00E12464">
      <w:pPr>
        <w:jc w:val="both"/>
        <w:rPr>
          <w:rFonts w:cs="Arial"/>
          <w:sz w:val="22"/>
          <w:szCs w:val="22"/>
        </w:rPr>
      </w:pPr>
    </w:p>
    <w:p w14:paraId="6BEE2D54" w14:textId="3D91E318" w:rsidR="009039AE" w:rsidRPr="003B5FF3" w:rsidRDefault="007F06BD" w:rsidP="00E12464">
      <w:pPr>
        <w:jc w:val="both"/>
        <w:rPr>
          <w:rFonts w:cs="Arial"/>
          <w:sz w:val="22"/>
          <w:szCs w:val="22"/>
        </w:rPr>
      </w:pPr>
      <w:r w:rsidRPr="003B5FF3">
        <w:rPr>
          <w:rFonts w:cs="Arial"/>
          <w:sz w:val="22"/>
          <w:szCs w:val="22"/>
        </w:rPr>
        <w:t>Payments may be made in a variety of ways including the electronic transfer of funds through financial institutions, vouchers, or other appropriate methods. Payments may also be made incrementally, through payment of a portion of the costs at different points in the training course.</w:t>
      </w:r>
      <w:r w:rsidR="00284982" w:rsidRPr="003B5FF3">
        <w:rPr>
          <w:rStyle w:val="FootnoteReference"/>
          <w:rFonts w:cs="Arial"/>
          <w:sz w:val="22"/>
          <w:szCs w:val="22"/>
        </w:rPr>
        <w:footnoteReference w:id="5"/>
      </w:r>
    </w:p>
    <w:p w14:paraId="2B4DEE25" w14:textId="77777777" w:rsidR="00E12464" w:rsidRPr="003B5FF3" w:rsidRDefault="00E12464" w:rsidP="00E12464">
      <w:pPr>
        <w:jc w:val="both"/>
        <w:rPr>
          <w:rFonts w:cs="Arial"/>
          <w:b/>
          <w:sz w:val="22"/>
          <w:szCs w:val="22"/>
        </w:rPr>
      </w:pPr>
    </w:p>
    <w:p w14:paraId="501A8080" w14:textId="77777777" w:rsidR="005D35B9" w:rsidRPr="003B5FF3" w:rsidRDefault="005D35B9" w:rsidP="00E12464">
      <w:pPr>
        <w:jc w:val="both"/>
        <w:rPr>
          <w:rFonts w:cs="Arial"/>
          <w:b/>
          <w:sz w:val="22"/>
          <w:szCs w:val="22"/>
        </w:rPr>
      </w:pPr>
    </w:p>
    <w:p w14:paraId="67B5DA61" w14:textId="41CA5F78" w:rsidR="00E12464" w:rsidRPr="009121C1" w:rsidRDefault="007F06BD" w:rsidP="0042616B">
      <w:pPr>
        <w:pStyle w:val="Heading2"/>
        <w:jc w:val="center"/>
        <w:rPr>
          <w:rFonts w:ascii="Arial" w:hAnsi="Arial" w:cs="Arial"/>
          <w:b/>
          <w:color w:val="0070C0"/>
          <w:sz w:val="22"/>
          <w:szCs w:val="22"/>
        </w:rPr>
      </w:pPr>
      <w:r w:rsidRPr="009121C1">
        <w:rPr>
          <w:rFonts w:ascii="Arial" w:hAnsi="Arial" w:cs="Arial"/>
          <w:b/>
          <w:color w:val="0070C0"/>
          <w:sz w:val="22"/>
          <w:szCs w:val="22"/>
        </w:rPr>
        <w:t xml:space="preserve">Local </w:t>
      </w:r>
      <w:r w:rsidR="008049C1" w:rsidRPr="009121C1">
        <w:rPr>
          <w:rFonts w:ascii="Arial" w:hAnsi="Arial" w:cs="Arial"/>
          <w:b/>
          <w:color w:val="0070C0"/>
          <w:sz w:val="22"/>
          <w:szCs w:val="22"/>
        </w:rPr>
        <w:t xml:space="preserve">Area ITA </w:t>
      </w:r>
      <w:r w:rsidRPr="009121C1">
        <w:rPr>
          <w:rFonts w:ascii="Arial" w:hAnsi="Arial" w:cs="Arial"/>
          <w:b/>
          <w:color w:val="0070C0"/>
          <w:sz w:val="22"/>
          <w:szCs w:val="22"/>
        </w:rPr>
        <w:t>Policy Requirements</w:t>
      </w:r>
    </w:p>
    <w:p w14:paraId="4687AC61" w14:textId="77777777" w:rsidR="007F06BD" w:rsidRPr="003B5FF3" w:rsidRDefault="007F06BD" w:rsidP="00E12464">
      <w:pPr>
        <w:jc w:val="center"/>
        <w:rPr>
          <w:rFonts w:cs="Arial"/>
          <w:b/>
          <w:sz w:val="22"/>
          <w:szCs w:val="22"/>
        </w:rPr>
      </w:pPr>
    </w:p>
    <w:p w14:paraId="5DECE9B7" w14:textId="61EB93CD" w:rsidR="007F06BD" w:rsidRPr="003B5FF3" w:rsidRDefault="007F06BD" w:rsidP="007F06BD">
      <w:pPr>
        <w:jc w:val="both"/>
        <w:rPr>
          <w:rFonts w:cs="Arial"/>
          <w:sz w:val="22"/>
          <w:szCs w:val="22"/>
        </w:rPr>
      </w:pPr>
      <w:r w:rsidRPr="003B5FF3">
        <w:rPr>
          <w:rFonts w:cs="Arial"/>
          <w:sz w:val="22"/>
          <w:szCs w:val="22"/>
        </w:rPr>
        <w:t xml:space="preserve">Local </w:t>
      </w:r>
      <w:r w:rsidR="001A602C" w:rsidRPr="003B5FF3">
        <w:rPr>
          <w:rFonts w:cs="Arial"/>
          <w:sz w:val="22"/>
          <w:szCs w:val="22"/>
        </w:rPr>
        <w:t xml:space="preserve">area </w:t>
      </w:r>
      <w:r w:rsidRPr="003B5FF3">
        <w:rPr>
          <w:rFonts w:cs="Arial"/>
          <w:sz w:val="22"/>
          <w:szCs w:val="22"/>
        </w:rPr>
        <w:t>polic</w:t>
      </w:r>
      <w:r w:rsidR="005C5351" w:rsidRPr="003B5FF3">
        <w:rPr>
          <w:rFonts w:cs="Arial"/>
          <w:sz w:val="22"/>
          <w:szCs w:val="22"/>
        </w:rPr>
        <w:t>ies</w:t>
      </w:r>
      <w:r w:rsidRPr="003B5FF3">
        <w:rPr>
          <w:rFonts w:cs="Arial"/>
          <w:sz w:val="22"/>
          <w:szCs w:val="22"/>
        </w:rPr>
        <w:t xml:space="preserve"> </w:t>
      </w:r>
      <w:r w:rsidR="001A602C" w:rsidRPr="003B5FF3">
        <w:rPr>
          <w:rFonts w:cs="Arial"/>
          <w:sz w:val="22"/>
          <w:szCs w:val="22"/>
        </w:rPr>
        <w:t xml:space="preserve">on ITAs </w:t>
      </w:r>
      <w:r w:rsidRPr="003B5FF3">
        <w:rPr>
          <w:rFonts w:cs="Arial"/>
          <w:sz w:val="22"/>
          <w:szCs w:val="22"/>
        </w:rPr>
        <w:t xml:space="preserve">must incorporate </w:t>
      </w:r>
      <w:r w:rsidR="0042616B" w:rsidRPr="003B5FF3">
        <w:rPr>
          <w:rFonts w:cs="Arial"/>
          <w:sz w:val="22"/>
          <w:szCs w:val="22"/>
        </w:rPr>
        <w:t xml:space="preserve">a description of </w:t>
      </w:r>
      <w:r w:rsidR="007B6F20" w:rsidRPr="003B5FF3">
        <w:rPr>
          <w:rFonts w:cs="Arial"/>
          <w:sz w:val="22"/>
          <w:szCs w:val="22"/>
        </w:rPr>
        <w:t xml:space="preserve">each of </w:t>
      </w:r>
      <w:r w:rsidRPr="003B5FF3">
        <w:rPr>
          <w:rFonts w:cs="Arial"/>
          <w:sz w:val="22"/>
          <w:szCs w:val="22"/>
        </w:rPr>
        <w:t>the following:</w:t>
      </w:r>
    </w:p>
    <w:p w14:paraId="64CF0192" w14:textId="77777777" w:rsidR="007F06BD" w:rsidRPr="003B5FF3" w:rsidRDefault="007F06BD" w:rsidP="007F06BD">
      <w:pPr>
        <w:jc w:val="both"/>
        <w:rPr>
          <w:rFonts w:cs="Arial"/>
          <w:sz w:val="22"/>
          <w:szCs w:val="22"/>
        </w:rPr>
      </w:pPr>
    </w:p>
    <w:p w14:paraId="747C340C" w14:textId="7CB5FCAB" w:rsidR="007F06BD" w:rsidRPr="003B5FF3" w:rsidRDefault="001A602C" w:rsidP="007F06BD">
      <w:pPr>
        <w:pStyle w:val="ListParagraph"/>
        <w:numPr>
          <w:ilvl w:val="0"/>
          <w:numId w:val="2"/>
        </w:numPr>
        <w:jc w:val="both"/>
        <w:rPr>
          <w:rFonts w:cs="Arial"/>
          <w:sz w:val="22"/>
          <w:szCs w:val="22"/>
        </w:rPr>
      </w:pPr>
      <w:r w:rsidRPr="003B5FF3">
        <w:rPr>
          <w:rFonts w:cs="Arial"/>
          <w:sz w:val="22"/>
          <w:szCs w:val="22"/>
        </w:rPr>
        <w:t>how participants will receive assessment, counseling, and an individual employment plan through career services prior to selecting a training program;</w:t>
      </w:r>
    </w:p>
    <w:p w14:paraId="5BE5B3C8" w14:textId="77777777" w:rsidR="007F06BD" w:rsidRPr="003B5FF3" w:rsidRDefault="007F06BD" w:rsidP="007F06BD">
      <w:pPr>
        <w:pStyle w:val="ListParagraph"/>
        <w:jc w:val="both"/>
        <w:rPr>
          <w:rFonts w:cs="Arial"/>
          <w:sz w:val="22"/>
          <w:szCs w:val="22"/>
        </w:rPr>
      </w:pPr>
    </w:p>
    <w:p w14:paraId="0ECFD671" w14:textId="095F1AC8" w:rsidR="001A602C" w:rsidRPr="003B5FF3" w:rsidRDefault="001A602C" w:rsidP="007F06BD">
      <w:pPr>
        <w:pStyle w:val="ListParagraph"/>
        <w:numPr>
          <w:ilvl w:val="0"/>
          <w:numId w:val="2"/>
        </w:numPr>
        <w:jc w:val="both"/>
        <w:rPr>
          <w:rFonts w:cs="Arial"/>
          <w:sz w:val="22"/>
          <w:szCs w:val="22"/>
        </w:rPr>
      </w:pPr>
      <w:r w:rsidRPr="003B5FF3">
        <w:rPr>
          <w:rFonts w:cs="Arial"/>
          <w:sz w:val="22"/>
          <w:szCs w:val="22"/>
        </w:rPr>
        <w:t xml:space="preserve">how training </w:t>
      </w:r>
      <w:r w:rsidR="008049C1" w:rsidRPr="003B5FF3">
        <w:rPr>
          <w:rFonts w:cs="Arial"/>
          <w:sz w:val="22"/>
          <w:szCs w:val="22"/>
        </w:rPr>
        <w:t xml:space="preserve">is </w:t>
      </w:r>
      <w:r w:rsidRPr="003B5FF3">
        <w:rPr>
          <w:rFonts w:cs="Arial"/>
          <w:sz w:val="22"/>
          <w:szCs w:val="22"/>
        </w:rPr>
        <w:t xml:space="preserve">limited to skills relevant to in-demand industry sectors or occupations, the manner in which participants will learn of the in-demand industry sectors or occupations, and how exceptions to the list of locally recognized in-demand industry sectors or occupations will be handled; </w:t>
      </w:r>
    </w:p>
    <w:p w14:paraId="18E41849" w14:textId="77777777" w:rsidR="001A602C" w:rsidRPr="003B5FF3" w:rsidRDefault="001A602C" w:rsidP="001A602C">
      <w:pPr>
        <w:pStyle w:val="ListParagraph"/>
        <w:rPr>
          <w:rFonts w:cs="Arial"/>
          <w:sz w:val="22"/>
          <w:szCs w:val="22"/>
        </w:rPr>
      </w:pPr>
    </w:p>
    <w:p w14:paraId="78E0D3A8" w14:textId="20931465" w:rsidR="000F7EA2" w:rsidRPr="003B5FF3" w:rsidRDefault="001A602C" w:rsidP="000F7EA2">
      <w:pPr>
        <w:pStyle w:val="ListParagraph"/>
        <w:numPr>
          <w:ilvl w:val="1"/>
          <w:numId w:val="2"/>
        </w:numPr>
        <w:jc w:val="both"/>
        <w:rPr>
          <w:rFonts w:cs="Arial"/>
          <w:sz w:val="22"/>
          <w:szCs w:val="22"/>
        </w:rPr>
      </w:pPr>
      <w:r w:rsidRPr="003B5FF3">
        <w:rPr>
          <w:rFonts w:cs="Arial"/>
          <w:sz w:val="22"/>
          <w:szCs w:val="22"/>
        </w:rPr>
        <w:t xml:space="preserve">Under WIOA, a </w:t>
      </w:r>
      <w:r w:rsidR="007F06BD" w:rsidRPr="003B5FF3">
        <w:rPr>
          <w:rFonts w:cs="Arial"/>
          <w:sz w:val="22"/>
          <w:szCs w:val="22"/>
        </w:rPr>
        <w:t xml:space="preserve">local board </w:t>
      </w:r>
      <w:r w:rsidRPr="003B5FF3">
        <w:rPr>
          <w:rFonts w:cs="Arial"/>
          <w:sz w:val="22"/>
          <w:szCs w:val="22"/>
        </w:rPr>
        <w:t xml:space="preserve">may </w:t>
      </w:r>
      <w:r w:rsidR="007F06BD" w:rsidRPr="003B5FF3">
        <w:rPr>
          <w:rFonts w:cs="Arial"/>
          <w:sz w:val="22"/>
          <w:szCs w:val="22"/>
        </w:rPr>
        <w:t xml:space="preserve">approve training services for occupations they have determined to be in sectors of the economy that have high potential for sustained demand or growth in the local area. The </w:t>
      </w:r>
      <w:r w:rsidRPr="003B5FF3">
        <w:rPr>
          <w:rFonts w:cs="Arial"/>
          <w:sz w:val="22"/>
          <w:szCs w:val="22"/>
        </w:rPr>
        <w:t>in-</w:t>
      </w:r>
      <w:r w:rsidR="007F06BD" w:rsidRPr="003B5FF3">
        <w:rPr>
          <w:rFonts w:cs="Arial"/>
          <w:sz w:val="22"/>
          <w:szCs w:val="22"/>
        </w:rPr>
        <w:t xml:space="preserve">demand </w:t>
      </w:r>
      <w:r w:rsidRPr="003B5FF3">
        <w:rPr>
          <w:rFonts w:cs="Arial"/>
          <w:sz w:val="22"/>
          <w:szCs w:val="22"/>
        </w:rPr>
        <w:t xml:space="preserve">industry sectors or </w:t>
      </w:r>
      <w:r w:rsidR="007F06BD" w:rsidRPr="003B5FF3">
        <w:rPr>
          <w:rFonts w:cs="Arial"/>
          <w:sz w:val="22"/>
          <w:szCs w:val="22"/>
        </w:rPr>
        <w:t xml:space="preserve">occupations are to be contained in </w:t>
      </w:r>
      <w:r w:rsidRPr="003B5FF3">
        <w:rPr>
          <w:rFonts w:cs="Arial"/>
          <w:sz w:val="22"/>
          <w:szCs w:val="22"/>
        </w:rPr>
        <w:t>the local area plan and the local board must be involved in the exception process.</w:t>
      </w:r>
      <w:r w:rsidR="008049C1" w:rsidRPr="003B5FF3">
        <w:rPr>
          <w:rFonts w:cs="Arial"/>
          <w:sz w:val="22"/>
          <w:szCs w:val="22"/>
        </w:rPr>
        <w:t xml:space="preserve">  </w:t>
      </w:r>
    </w:p>
    <w:p w14:paraId="32F2A092" w14:textId="28B377FB" w:rsidR="000F7EA2" w:rsidRPr="003B5FF3" w:rsidRDefault="000F7EA2" w:rsidP="000F7EA2">
      <w:pPr>
        <w:pStyle w:val="ListParagraph"/>
        <w:numPr>
          <w:ilvl w:val="1"/>
          <w:numId w:val="2"/>
        </w:numPr>
        <w:jc w:val="both"/>
        <w:rPr>
          <w:rFonts w:cs="Arial"/>
          <w:b/>
          <w:sz w:val="22"/>
          <w:szCs w:val="22"/>
          <w:u w:val="single"/>
        </w:rPr>
      </w:pPr>
      <w:r w:rsidRPr="003B5FF3">
        <w:rPr>
          <w:rFonts w:cs="Arial"/>
          <w:b/>
          <w:sz w:val="22"/>
          <w:szCs w:val="22"/>
          <w:u w:val="single"/>
        </w:rPr>
        <w:t>Priority consideration must be given to programs that are aligned with in-demand industry sectors or occupations in the local area.</w:t>
      </w:r>
      <w:r w:rsidRPr="003B5FF3">
        <w:rPr>
          <w:rStyle w:val="FootnoteReference"/>
          <w:rFonts w:cs="Arial"/>
          <w:b/>
          <w:sz w:val="22"/>
          <w:szCs w:val="22"/>
        </w:rPr>
        <w:footnoteReference w:id="6"/>
      </w:r>
      <w:r w:rsidRPr="003B5FF3">
        <w:rPr>
          <w:rFonts w:cs="Arial"/>
          <w:b/>
          <w:sz w:val="22"/>
          <w:szCs w:val="22"/>
        </w:rPr>
        <w:t xml:space="preserve"> </w:t>
      </w:r>
    </w:p>
    <w:p w14:paraId="5D4C1C48" w14:textId="77777777" w:rsidR="008049C1" w:rsidRPr="003B5FF3" w:rsidRDefault="008049C1" w:rsidP="008049C1">
      <w:pPr>
        <w:jc w:val="both"/>
        <w:rPr>
          <w:rFonts w:cs="Arial"/>
          <w:sz w:val="22"/>
          <w:szCs w:val="22"/>
        </w:rPr>
      </w:pPr>
    </w:p>
    <w:p w14:paraId="1AD7F688" w14:textId="49907AC0" w:rsidR="008049C1" w:rsidRPr="003B5FF3" w:rsidRDefault="008049C1" w:rsidP="008049C1">
      <w:pPr>
        <w:pStyle w:val="ListParagraph"/>
        <w:numPr>
          <w:ilvl w:val="0"/>
          <w:numId w:val="2"/>
        </w:numPr>
        <w:jc w:val="both"/>
        <w:rPr>
          <w:rFonts w:cs="Arial"/>
          <w:sz w:val="22"/>
          <w:szCs w:val="22"/>
        </w:rPr>
      </w:pPr>
      <w:r w:rsidRPr="003B5FF3">
        <w:rPr>
          <w:rFonts w:cs="Arial"/>
          <w:sz w:val="22"/>
          <w:szCs w:val="22"/>
        </w:rPr>
        <w:t>how training is limited to programs of training services that include one or more courses or classes or a structured regimen that lead to</w:t>
      </w:r>
      <w:r w:rsidR="0089485E" w:rsidRPr="003B5FF3">
        <w:rPr>
          <w:rFonts w:cs="Arial"/>
          <w:sz w:val="22"/>
          <w:szCs w:val="22"/>
        </w:rPr>
        <w:t xml:space="preserve"> one or more of the following outcomes</w:t>
      </w:r>
      <w:r w:rsidRPr="003B5FF3">
        <w:rPr>
          <w:rFonts w:cs="Arial"/>
          <w:sz w:val="22"/>
          <w:szCs w:val="22"/>
        </w:rPr>
        <w:t>:</w:t>
      </w:r>
    </w:p>
    <w:p w14:paraId="70B772F9" w14:textId="77777777" w:rsidR="008049C1" w:rsidRPr="003B5FF3" w:rsidRDefault="008049C1" w:rsidP="008049C1">
      <w:pPr>
        <w:pStyle w:val="ListParagraph"/>
        <w:jc w:val="both"/>
        <w:rPr>
          <w:rFonts w:cs="Arial"/>
          <w:sz w:val="22"/>
          <w:szCs w:val="22"/>
        </w:rPr>
      </w:pPr>
    </w:p>
    <w:p w14:paraId="167D72FC" w14:textId="3BD749AB" w:rsidR="000F7EA2" w:rsidRPr="003B5FF3" w:rsidRDefault="000F7EA2" w:rsidP="000F7EA2">
      <w:pPr>
        <w:pStyle w:val="ListParagraph"/>
        <w:numPr>
          <w:ilvl w:val="1"/>
          <w:numId w:val="2"/>
        </w:numPr>
        <w:jc w:val="both"/>
        <w:rPr>
          <w:rFonts w:cs="Arial"/>
          <w:sz w:val="22"/>
          <w:szCs w:val="22"/>
        </w:rPr>
      </w:pPr>
      <w:r w:rsidRPr="003B5FF3">
        <w:rPr>
          <w:rFonts w:cs="Arial"/>
          <w:sz w:val="22"/>
          <w:szCs w:val="22"/>
        </w:rPr>
        <w:t>an industry-recognized certificate or certification, a certificate of completion of a registered apprenticeship, a license recognized by the state or the Federal government, an associate or baccalaureate degree;</w:t>
      </w:r>
    </w:p>
    <w:p w14:paraId="6505BB77" w14:textId="77777777" w:rsidR="000F7EA2" w:rsidRPr="003B5FF3" w:rsidRDefault="000F7EA2" w:rsidP="000F7EA2">
      <w:pPr>
        <w:pStyle w:val="ListParagraph"/>
        <w:numPr>
          <w:ilvl w:val="1"/>
          <w:numId w:val="2"/>
        </w:numPr>
        <w:jc w:val="both"/>
        <w:rPr>
          <w:rFonts w:cs="Arial"/>
          <w:sz w:val="22"/>
          <w:szCs w:val="22"/>
        </w:rPr>
      </w:pPr>
      <w:r w:rsidRPr="003B5FF3">
        <w:rPr>
          <w:rFonts w:cs="Arial"/>
          <w:sz w:val="22"/>
          <w:szCs w:val="22"/>
        </w:rPr>
        <w:t>a secondary school diploma or GED earned in conjunction with:</w:t>
      </w:r>
    </w:p>
    <w:p w14:paraId="7C15B2F9" w14:textId="77777777" w:rsidR="000F7EA2" w:rsidRPr="003B5FF3" w:rsidRDefault="000F7EA2" w:rsidP="000F7EA2">
      <w:pPr>
        <w:pStyle w:val="ListParagraph"/>
        <w:numPr>
          <w:ilvl w:val="2"/>
          <w:numId w:val="2"/>
        </w:numPr>
        <w:jc w:val="both"/>
        <w:rPr>
          <w:rFonts w:cs="Arial"/>
          <w:sz w:val="22"/>
          <w:szCs w:val="22"/>
        </w:rPr>
      </w:pPr>
      <w:r w:rsidRPr="003B5FF3">
        <w:rPr>
          <w:rFonts w:cs="Arial"/>
          <w:sz w:val="22"/>
          <w:szCs w:val="22"/>
        </w:rPr>
        <w:t>occupational skills training</w:t>
      </w:r>
    </w:p>
    <w:p w14:paraId="222AF41D" w14:textId="4CD53B98" w:rsidR="000F7EA2" w:rsidRPr="003B5FF3" w:rsidRDefault="000F7EA2" w:rsidP="000F7EA2">
      <w:pPr>
        <w:pStyle w:val="ListParagraph"/>
        <w:numPr>
          <w:ilvl w:val="2"/>
          <w:numId w:val="2"/>
        </w:numPr>
        <w:jc w:val="both"/>
        <w:rPr>
          <w:rFonts w:cs="Arial"/>
          <w:sz w:val="22"/>
          <w:szCs w:val="22"/>
        </w:rPr>
      </w:pPr>
      <w:r w:rsidRPr="003B5FF3">
        <w:rPr>
          <w:rFonts w:cs="Arial"/>
          <w:sz w:val="22"/>
          <w:szCs w:val="22"/>
        </w:rPr>
        <w:t>on-the-job training;</w:t>
      </w:r>
    </w:p>
    <w:p w14:paraId="0C13368A" w14:textId="584BBC3F" w:rsidR="000F7EA2" w:rsidRPr="003B5FF3" w:rsidRDefault="000F7EA2" w:rsidP="000F7EA2">
      <w:pPr>
        <w:pStyle w:val="ListParagraph"/>
        <w:numPr>
          <w:ilvl w:val="2"/>
          <w:numId w:val="2"/>
        </w:numPr>
        <w:jc w:val="both"/>
        <w:rPr>
          <w:rFonts w:cs="Arial"/>
          <w:sz w:val="22"/>
          <w:szCs w:val="22"/>
        </w:rPr>
      </w:pPr>
      <w:r w:rsidRPr="003B5FF3">
        <w:rPr>
          <w:rFonts w:cs="Arial"/>
          <w:sz w:val="22"/>
          <w:szCs w:val="22"/>
        </w:rPr>
        <w:t xml:space="preserve">incumbent worker training; or </w:t>
      </w:r>
    </w:p>
    <w:p w14:paraId="65B0F5B3" w14:textId="6B879768" w:rsidR="000F7EA2" w:rsidRPr="003B5FF3" w:rsidRDefault="000F7EA2" w:rsidP="000F7EA2">
      <w:pPr>
        <w:pStyle w:val="ListParagraph"/>
        <w:numPr>
          <w:ilvl w:val="2"/>
          <w:numId w:val="2"/>
        </w:numPr>
        <w:jc w:val="both"/>
        <w:rPr>
          <w:rFonts w:cs="Arial"/>
          <w:sz w:val="22"/>
          <w:szCs w:val="22"/>
        </w:rPr>
      </w:pPr>
      <w:r w:rsidRPr="003B5FF3">
        <w:rPr>
          <w:rFonts w:cs="Arial"/>
          <w:sz w:val="22"/>
          <w:szCs w:val="22"/>
        </w:rPr>
        <w:t>workplace training;</w:t>
      </w:r>
    </w:p>
    <w:p w14:paraId="293AD269" w14:textId="3327FC29" w:rsidR="000F7EA2" w:rsidRPr="003B5FF3" w:rsidRDefault="000F7EA2" w:rsidP="000F7EA2">
      <w:pPr>
        <w:pStyle w:val="ListParagraph"/>
        <w:numPr>
          <w:ilvl w:val="1"/>
          <w:numId w:val="2"/>
        </w:numPr>
        <w:jc w:val="both"/>
        <w:rPr>
          <w:rFonts w:cs="Arial"/>
          <w:sz w:val="22"/>
          <w:szCs w:val="22"/>
        </w:rPr>
      </w:pPr>
      <w:r w:rsidRPr="003B5FF3">
        <w:rPr>
          <w:rFonts w:cs="Arial"/>
          <w:sz w:val="22"/>
          <w:szCs w:val="22"/>
        </w:rPr>
        <w:t>employment; or</w:t>
      </w:r>
    </w:p>
    <w:p w14:paraId="296DA071" w14:textId="07A24A4A" w:rsidR="000F7EA2" w:rsidRPr="003B5FF3" w:rsidRDefault="000F7EA2" w:rsidP="000F7EA2">
      <w:pPr>
        <w:pStyle w:val="ListParagraph"/>
        <w:numPr>
          <w:ilvl w:val="1"/>
          <w:numId w:val="2"/>
        </w:numPr>
        <w:jc w:val="both"/>
        <w:rPr>
          <w:rFonts w:cs="Arial"/>
          <w:sz w:val="22"/>
          <w:szCs w:val="22"/>
        </w:rPr>
      </w:pPr>
      <w:r w:rsidRPr="003B5FF3">
        <w:rPr>
          <w:rFonts w:cs="Arial"/>
          <w:sz w:val="22"/>
          <w:szCs w:val="22"/>
        </w:rPr>
        <w:t xml:space="preserve">measurable skill gains toward </w:t>
      </w:r>
      <w:r w:rsidR="0089485E" w:rsidRPr="003B5FF3">
        <w:rPr>
          <w:rFonts w:cs="Arial"/>
          <w:sz w:val="22"/>
          <w:szCs w:val="22"/>
        </w:rPr>
        <w:t xml:space="preserve">employment or </w:t>
      </w:r>
      <w:r w:rsidRPr="003B5FF3">
        <w:rPr>
          <w:rFonts w:cs="Arial"/>
          <w:sz w:val="22"/>
          <w:szCs w:val="22"/>
        </w:rPr>
        <w:t>a credential described in paragraph (a) or (b) of this section.</w:t>
      </w:r>
    </w:p>
    <w:p w14:paraId="0D643326" w14:textId="77777777" w:rsidR="008049C1" w:rsidRPr="003B5FF3" w:rsidRDefault="008049C1" w:rsidP="00D6441A">
      <w:pPr>
        <w:pStyle w:val="ListParagraph"/>
        <w:rPr>
          <w:rFonts w:cs="Arial"/>
          <w:sz w:val="22"/>
          <w:szCs w:val="22"/>
        </w:rPr>
      </w:pPr>
    </w:p>
    <w:p w14:paraId="3A952172" w14:textId="5EFEA470" w:rsidR="000F7EA2" w:rsidRPr="003B5FF3" w:rsidRDefault="0089485E" w:rsidP="0089485E">
      <w:pPr>
        <w:pStyle w:val="ListParagraph"/>
        <w:numPr>
          <w:ilvl w:val="0"/>
          <w:numId w:val="2"/>
        </w:numPr>
        <w:jc w:val="both"/>
        <w:rPr>
          <w:rFonts w:cs="Arial"/>
          <w:sz w:val="22"/>
          <w:szCs w:val="22"/>
        </w:rPr>
      </w:pPr>
      <w:r w:rsidRPr="003B5FF3">
        <w:rPr>
          <w:rFonts w:cs="Arial"/>
          <w:sz w:val="22"/>
          <w:szCs w:val="22"/>
        </w:rPr>
        <w:t>h</w:t>
      </w:r>
      <w:r w:rsidR="000F7EA2" w:rsidRPr="003B5FF3">
        <w:rPr>
          <w:rFonts w:cs="Arial"/>
          <w:sz w:val="22"/>
          <w:szCs w:val="22"/>
        </w:rPr>
        <w:t xml:space="preserve">ow </w:t>
      </w:r>
      <w:r w:rsidRPr="003B5FF3">
        <w:rPr>
          <w:rFonts w:cs="Arial"/>
          <w:sz w:val="22"/>
          <w:szCs w:val="22"/>
        </w:rPr>
        <w:t xml:space="preserve">the intended and actual outcomes described above in section 3 will be documented in the participant’s individual employment plan; </w:t>
      </w:r>
    </w:p>
    <w:p w14:paraId="77A25B1F" w14:textId="77777777" w:rsidR="000F7EA2" w:rsidRPr="003B5FF3" w:rsidRDefault="000F7EA2" w:rsidP="00D6441A">
      <w:pPr>
        <w:pStyle w:val="ListParagraph"/>
        <w:rPr>
          <w:rFonts w:cs="Arial"/>
          <w:sz w:val="22"/>
          <w:szCs w:val="22"/>
        </w:rPr>
      </w:pPr>
    </w:p>
    <w:p w14:paraId="44A87AEA" w14:textId="6857BBCD" w:rsidR="00D6441A" w:rsidRPr="003B5FF3" w:rsidRDefault="001A602C" w:rsidP="007F06BD">
      <w:pPr>
        <w:pStyle w:val="ListParagraph"/>
        <w:numPr>
          <w:ilvl w:val="0"/>
          <w:numId w:val="2"/>
        </w:numPr>
        <w:jc w:val="both"/>
        <w:rPr>
          <w:rFonts w:cs="Arial"/>
          <w:sz w:val="22"/>
          <w:szCs w:val="22"/>
        </w:rPr>
      </w:pPr>
      <w:r w:rsidRPr="003B5FF3">
        <w:rPr>
          <w:rFonts w:cs="Arial"/>
          <w:sz w:val="22"/>
          <w:szCs w:val="22"/>
        </w:rPr>
        <w:lastRenderedPageBreak/>
        <w:t xml:space="preserve">how </w:t>
      </w:r>
      <w:r w:rsidR="00D6441A" w:rsidRPr="003B5FF3">
        <w:rPr>
          <w:rFonts w:cs="Arial"/>
          <w:sz w:val="22"/>
          <w:szCs w:val="22"/>
        </w:rPr>
        <w:t xml:space="preserve">the policy will be communicated in simple, understandable language to customers of </w:t>
      </w:r>
      <w:r w:rsidRPr="003B5FF3">
        <w:rPr>
          <w:rFonts w:cs="Arial"/>
          <w:sz w:val="22"/>
          <w:szCs w:val="22"/>
        </w:rPr>
        <w:t xml:space="preserve">the one-stop center, including </w:t>
      </w:r>
      <w:r w:rsidR="00D6441A" w:rsidRPr="003B5FF3">
        <w:rPr>
          <w:rFonts w:cs="Arial"/>
          <w:sz w:val="22"/>
          <w:szCs w:val="22"/>
        </w:rPr>
        <w:t>delivery methods</w:t>
      </w:r>
      <w:r w:rsidRPr="003B5FF3">
        <w:rPr>
          <w:rFonts w:cs="Arial"/>
          <w:sz w:val="22"/>
          <w:szCs w:val="22"/>
        </w:rPr>
        <w:t>;</w:t>
      </w:r>
    </w:p>
    <w:p w14:paraId="0E803189" w14:textId="77777777" w:rsidR="00D6441A" w:rsidRPr="003B5FF3" w:rsidRDefault="00D6441A" w:rsidP="00D6441A">
      <w:pPr>
        <w:pStyle w:val="ListParagraph"/>
        <w:rPr>
          <w:rFonts w:cs="Arial"/>
          <w:sz w:val="22"/>
          <w:szCs w:val="22"/>
        </w:rPr>
      </w:pPr>
    </w:p>
    <w:p w14:paraId="5B2DA640" w14:textId="77777777" w:rsidR="005C5351" w:rsidRPr="003B5FF3" w:rsidRDefault="001A602C" w:rsidP="007F06BD">
      <w:pPr>
        <w:pStyle w:val="ListParagraph"/>
        <w:numPr>
          <w:ilvl w:val="0"/>
          <w:numId w:val="2"/>
        </w:numPr>
        <w:jc w:val="both"/>
        <w:rPr>
          <w:rFonts w:cs="Arial"/>
          <w:sz w:val="22"/>
          <w:szCs w:val="22"/>
        </w:rPr>
      </w:pPr>
      <w:r w:rsidRPr="003B5FF3">
        <w:rPr>
          <w:rFonts w:cs="Arial"/>
          <w:sz w:val="22"/>
          <w:szCs w:val="22"/>
        </w:rPr>
        <w:t xml:space="preserve">how </w:t>
      </w:r>
      <w:r w:rsidR="00D6441A" w:rsidRPr="003B5FF3">
        <w:rPr>
          <w:rFonts w:cs="Arial"/>
          <w:sz w:val="22"/>
          <w:szCs w:val="22"/>
        </w:rPr>
        <w:t xml:space="preserve">the participant will access the </w:t>
      </w:r>
      <w:r w:rsidRPr="003B5FF3">
        <w:rPr>
          <w:rFonts w:cs="Arial"/>
          <w:sz w:val="22"/>
          <w:szCs w:val="22"/>
        </w:rPr>
        <w:t xml:space="preserve">ETPL </w:t>
      </w:r>
      <w:r w:rsidR="00D6441A" w:rsidRPr="003B5FF3">
        <w:rPr>
          <w:rFonts w:cs="Arial"/>
          <w:sz w:val="22"/>
          <w:szCs w:val="22"/>
        </w:rPr>
        <w:t xml:space="preserve">through the </w:t>
      </w:r>
      <w:r w:rsidRPr="003B5FF3">
        <w:rPr>
          <w:rFonts w:cs="Arial"/>
          <w:sz w:val="22"/>
          <w:szCs w:val="22"/>
        </w:rPr>
        <w:t xml:space="preserve">one-stop </w:t>
      </w:r>
      <w:r w:rsidR="00D6441A" w:rsidRPr="003B5FF3">
        <w:rPr>
          <w:rFonts w:cs="Arial"/>
          <w:sz w:val="22"/>
          <w:szCs w:val="22"/>
        </w:rPr>
        <w:t xml:space="preserve">system. </w:t>
      </w:r>
    </w:p>
    <w:p w14:paraId="6ED51F52" w14:textId="77777777" w:rsidR="005C5351" w:rsidRPr="003B5FF3" w:rsidRDefault="005C5351" w:rsidP="005C5351">
      <w:pPr>
        <w:pStyle w:val="ListParagraph"/>
        <w:rPr>
          <w:rFonts w:cs="Arial"/>
          <w:sz w:val="22"/>
          <w:szCs w:val="22"/>
        </w:rPr>
      </w:pPr>
    </w:p>
    <w:p w14:paraId="66F91608" w14:textId="29DCA7E8" w:rsidR="00D6441A" w:rsidRPr="003B5FF3" w:rsidRDefault="00D6441A" w:rsidP="005C5351">
      <w:pPr>
        <w:pStyle w:val="ListParagraph"/>
        <w:numPr>
          <w:ilvl w:val="1"/>
          <w:numId w:val="2"/>
        </w:numPr>
        <w:jc w:val="both"/>
        <w:rPr>
          <w:rFonts w:cs="Arial"/>
          <w:sz w:val="22"/>
          <w:szCs w:val="22"/>
        </w:rPr>
      </w:pPr>
      <w:r w:rsidRPr="003B5FF3">
        <w:rPr>
          <w:rFonts w:cs="Arial"/>
          <w:sz w:val="22"/>
          <w:szCs w:val="22"/>
        </w:rPr>
        <w:t>Partic</w:t>
      </w:r>
      <w:r w:rsidR="00DF1E3C" w:rsidRPr="003B5FF3">
        <w:rPr>
          <w:rFonts w:cs="Arial"/>
          <w:sz w:val="22"/>
          <w:szCs w:val="22"/>
        </w:rPr>
        <w:t>i</w:t>
      </w:r>
      <w:r w:rsidRPr="003B5FF3">
        <w:rPr>
          <w:rFonts w:cs="Arial"/>
          <w:sz w:val="22"/>
          <w:szCs w:val="22"/>
        </w:rPr>
        <w:t xml:space="preserve">pants must be able to select training services from any </w:t>
      </w:r>
      <w:r w:rsidR="001A602C" w:rsidRPr="003B5FF3">
        <w:rPr>
          <w:rFonts w:cs="Arial"/>
          <w:sz w:val="22"/>
          <w:szCs w:val="22"/>
        </w:rPr>
        <w:t xml:space="preserve">ETPs </w:t>
      </w:r>
      <w:r w:rsidRPr="003B5FF3">
        <w:rPr>
          <w:rFonts w:cs="Arial"/>
          <w:sz w:val="22"/>
          <w:szCs w:val="22"/>
        </w:rPr>
        <w:t xml:space="preserve">from any of the local areas on the </w:t>
      </w:r>
      <w:r w:rsidR="001A602C" w:rsidRPr="003B5FF3">
        <w:rPr>
          <w:rFonts w:cs="Arial"/>
          <w:sz w:val="22"/>
          <w:szCs w:val="22"/>
        </w:rPr>
        <w:t>ETPL</w:t>
      </w:r>
      <w:r w:rsidRPr="003B5FF3">
        <w:rPr>
          <w:rFonts w:cs="Arial"/>
          <w:sz w:val="22"/>
          <w:szCs w:val="22"/>
        </w:rPr>
        <w:t>. For more information</w:t>
      </w:r>
      <w:r w:rsidR="00B4330B" w:rsidRPr="003B5FF3">
        <w:rPr>
          <w:rFonts w:cs="Arial"/>
          <w:sz w:val="22"/>
          <w:szCs w:val="22"/>
        </w:rPr>
        <w:t xml:space="preserve"> on </w:t>
      </w:r>
      <w:r w:rsidR="001A602C" w:rsidRPr="003B5FF3">
        <w:rPr>
          <w:rFonts w:cs="Arial"/>
          <w:sz w:val="22"/>
          <w:szCs w:val="22"/>
        </w:rPr>
        <w:t>ETPs and the ETPL</w:t>
      </w:r>
      <w:r w:rsidRPr="003B5FF3">
        <w:rPr>
          <w:rFonts w:cs="Arial"/>
          <w:sz w:val="22"/>
          <w:szCs w:val="22"/>
        </w:rPr>
        <w:t xml:space="preserve">, see the NDOL Policy on Eligible Training Providers. </w:t>
      </w:r>
    </w:p>
    <w:p w14:paraId="7CCF12C2" w14:textId="77777777" w:rsidR="00D6441A" w:rsidRPr="003B5FF3" w:rsidRDefault="00D6441A" w:rsidP="00D6441A">
      <w:pPr>
        <w:pStyle w:val="ListParagraph"/>
        <w:rPr>
          <w:rFonts w:cs="Arial"/>
          <w:sz w:val="22"/>
          <w:szCs w:val="22"/>
        </w:rPr>
      </w:pPr>
    </w:p>
    <w:p w14:paraId="2F0FA539" w14:textId="68DD2CBF" w:rsidR="00D6441A" w:rsidRPr="003B5FF3" w:rsidRDefault="005C5351" w:rsidP="007F06BD">
      <w:pPr>
        <w:pStyle w:val="ListParagraph"/>
        <w:numPr>
          <w:ilvl w:val="0"/>
          <w:numId w:val="2"/>
        </w:numPr>
        <w:jc w:val="both"/>
        <w:rPr>
          <w:rFonts w:cs="Arial"/>
          <w:sz w:val="22"/>
          <w:szCs w:val="22"/>
        </w:rPr>
      </w:pPr>
      <w:r w:rsidRPr="003B5FF3">
        <w:rPr>
          <w:rFonts w:cs="Arial"/>
          <w:sz w:val="22"/>
          <w:szCs w:val="22"/>
        </w:rPr>
        <w:t xml:space="preserve">whether </w:t>
      </w:r>
      <w:r w:rsidR="00D6441A" w:rsidRPr="003B5FF3">
        <w:rPr>
          <w:rFonts w:cs="Arial"/>
          <w:sz w:val="22"/>
          <w:szCs w:val="22"/>
        </w:rPr>
        <w:t>ITA</w:t>
      </w:r>
      <w:r w:rsidRPr="003B5FF3">
        <w:rPr>
          <w:rFonts w:cs="Arial"/>
          <w:sz w:val="22"/>
          <w:szCs w:val="22"/>
        </w:rPr>
        <w:t>s</w:t>
      </w:r>
      <w:r w:rsidR="00D6441A" w:rsidRPr="003B5FF3">
        <w:rPr>
          <w:rFonts w:cs="Arial"/>
          <w:sz w:val="22"/>
          <w:szCs w:val="22"/>
        </w:rPr>
        <w:t xml:space="preserve"> cover books, or other instructional materials</w:t>
      </w:r>
      <w:r w:rsidRPr="003B5FF3">
        <w:rPr>
          <w:rFonts w:cs="Arial"/>
          <w:sz w:val="22"/>
          <w:szCs w:val="22"/>
        </w:rPr>
        <w:t>, or fees</w:t>
      </w:r>
      <w:r w:rsidR="00D6441A" w:rsidRPr="003B5FF3">
        <w:rPr>
          <w:rFonts w:cs="Arial"/>
          <w:sz w:val="22"/>
          <w:szCs w:val="22"/>
        </w:rPr>
        <w:t xml:space="preserve"> in addition to tuition</w:t>
      </w:r>
      <w:r w:rsidRPr="003B5FF3">
        <w:rPr>
          <w:rFonts w:cs="Arial"/>
          <w:sz w:val="22"/>
          <w:szCs w:val="22"/>
        </w:rPr>
        <w:t>;</w:t>
      </w:r>
    </w:p>
    <w:p w14:paraId="06424238" w14:textId="77777777" w:rsidR="00D6441A" w:rsidRPr="003B5FF3" w:rsidRDefault="00D6441A" w:rsidP="00D6441A">
      <w:pPr>
        <w:pStyle w:val="ListParagraph"/>
        <w:rPr>
          <w:rFonts w:cs="Arial"/>
          <w:sz w:val="22"/>
          <w:szCs w:val="22"/>
        </w:rPr>
      </w:pPr>
    </w:p>
    <w:p w14:paraId="36F30EE6" w14:textId="1122387D" w:rsidR="00D6441A" w:rsidRPr="003B5FF3" w:rsidRDefault="005C5351" w:rsidP="007F06BD">
      <w:pPr>
        <w:pStyle w:val="ListParagraph"/>
        <w:numPr>
          <w:ilvl w:val="0"/>
          <w:numId w:val="2"/>
        </w:numPr>
        <w:jc w:val="both"/>
        <w:rPr>
          <w:rFonts w:cs="Arial"/>
          <w:sz w:val="22"/>
          <w:szCs w:val="22"/>
        </w:rPr>
      </w:pPr>
      <w:r w:rsidRPr="003B5FF3">
        <w:rPr>
          <w:rFonts w:cs="Arial"/>
          <w:sz w:val="22"/>
          <w:szCs w:val="22"/>
        </w:rPr>
        <w:t xml:space="preserve">the maximum </w:t>
      </w:r>
      <w:r w:rsidR="00D6441A" w:rsidRPr="003B5FF3">
        <w:rPr>
          <w:rFonts w:cs="Arial"/>
          <w:sz w:val="22"/>
          <w:szCs w:val="22"/>
        </w:rPr>
        <w:t>duration of ITA</w:t>
      </w:r>
      <w:r w:rsidRPr="003B5FF3">
        <w:rPr>
          <w:rFonts w:cs="Arial"/>
          <w:sz w:val="22"/>
          <w:szCs w:val="22"/>
        </w:rPr>
        <w:t>s</w:t>
      </w:r>
      <w:r w:rsidR="00D6441A" w:rsidRPr="003B5FF3">
        <w:rPr>
          <w:rFonts w:cs="Arial"/>
          <w:sz w:val="22"/>
          <w:szCs w:val="22"/>
        </w:rPr>
        <w:t xml:space="preserve"> must be described in the local </w:t>
      </w:r>
      <w:r w:rsidRPr="003B5FF3">
        <w:rPr>
          <w:rFonts w:cs="Arial"/>
          <w:sz w:val="22"/>
          <w:szCs w:val="22"/>
        </w:rPr>
        <w:t xml:space="preserve">area </w:t>
      </w:r>
      <w:r w:rsidR="00D6441A" w:rsidRPr="003B5FF3">
        <w:rPr>
          <w:rFonts w:cs="Arial"/>
          <w:sz w:val="22"/>
          <w:szCs w:val="22"/>
        </w:rPr>
        <w:t>plan</w:t>
      </w:r>
      <w:r w:rsidRPr="003B5FF3">
        <w:rPr>
          <w:rFonts w:cs="Arial"/>
          <w:sz w:val="22"/>
          <w:szCs w:val="22"/>
        </w:rPr>
        <w:t>;</w:t>
      </w:r>
    </w:p>
    <w:p w14:paraId="258F5C02" w14:textId="77777777" w:rsidR="00D6441A" w:rsidRPr="003B5FF3" w:rsidRDefault="00D6441A" w:rsidP="00D6441A">
      <w:pPr>
        <w:pStyle w:val="ListParagraph"/>
        <w:rPr>
          <w:rFonts w:cs="Arial"/>
          <w:sz w:val="22"/>
          <w:szCs w:val="22"/>
        </w:rPr>
      </w:pPr>
    </w:p>
    <w:p w14:paraId="12B9BD7A" w14:textId="28F97485" w:rsidR="00C33A03" w:rsidRPr="003B5FF3" w:rsidRDefault="00C33A03" w:rsidP="007F06BD">
      <w:pPr>
        <w:pStyle w:val="ListParagraph"/>
        <w:numPr>
          <w:ilvl w:val="0"/>
          <w:numId w:val="2"/>
        </w:numPr>
        <w:jc w:val="both"/>
        <w:rPr>
          <w:rFonts w:cs="Arial"/>
          <w:sz w:val="22"/>
          <w:szCs w:val="22"/>
        </w:rPr>
      </w:pPr>
      <w:r w:rsidRPr="003B5FF3">
        <w:rPr>
          <w:rFonts w:cs="Arial"/>
          <w:sz w:val="22"/>
          <w:szCs w:val="22"/>
        </w:rPr>
        <w:t xml:space="preserve">how </w:t>
      </w:r>
      <w:r w:rsidR="00D6441A" w:rsidRPr="003B5FF3">
        <w:rPr>
          <w:rFonts w:cs="Arial"/>
          <w:sz w:val="22"/>
          <w:szCs w:val="22"/>
        </w:rPr>
        <w:t>the value of each ITA will be determined (will there be a cap on value, will the cap vary for occupations or populations, etc.)</w:t>
      </w:r>
      <w:r w:rsidRPr="003B5FF3">
        <w:rPr>
          <w:rFonts w:cs="Arial"/>
          <w:sz w:val="22"/>
          <w:szCs w:val="22"/>
        </w:rPr>
        <w:t>;</w:t>
      </w:r>
      <w:r w:rsidR="00D6441A" w:rsidRPr="003B5FF3">
        <w:rPr>
          <w:rFonts w:cs="Arial"/>
          <w:sz w:val="22"/>
          <w:szCs w:val="22"/>
        </w:rPr>
        <w:t xml:space="preserve"> </w:t>
      </w:r>
    </w:p>
    <w:p w14:paraId="6546A0B4" w14:textId="77777777" w:rsidR="00C33A03" w:rsidRPr="003B5FF3" w:rsidRDefault="00C33A03" w:rsidP="00C33A03">
      <w:pPr>
        <w:pStyle w:val="ListParagraph"/>
        <w:rPr>
          <w:rFonts w:cs="Arial"/>
          <w:sz w:val="22"/>
          <w:szCs w:val="22"/>
        </w:rPr>
      </w:pPr>
    </w:p>
    <w:p w14:paraId="07C97306" w14:textId="17FFBDD9" w:rsidR="00D6441A" w:rsidRPr="003B5FF3" w:rsidRDefault="00C33A03" w:rsidP="00C33A03">
      <w:pPr>
        <w:pStyle w:val="ListParagraph"/>
        <w:numPr>
          <w:ilvl w:val="1"/>
          <w:numId w:val="2"/>
        </w:numPr>
        <w:jc w:val="both"/>
        <w:rPr>
          <w:rFonts w:cs="Arial"/>
          <w:sz w:val="22"/>
          <w:szCs w:val="22"/>
        </w:rPr>
      </w:pPr>
      <w:r w:rsidRPr="003B5FF3">
        <w:rPr>
          <w:rFonts w:cs="Arial"/>
          <w:sz w:val="22"/>
          <w:szCs w:val="22"/>
        </w:rPr>
        <w:t xml:space="preserve">A </w:t>
      </w:r>
      <w:r w:rsidR="00D6441A" w:rsidRPr="003B5FF3">
        <w:rPr>
          <w:rFonts w:cs="Arial"/>
          <w:sz w:val="22"/>
          <w:szCs w:val="22"/>
        </w:rPr>
        <w:t xml:space="preserve">range of amounts may be established and/or a maximum amount applicable to all ITAs may be established. If a dollar amount or durational limit </w:t>
      </w:r>
      <w:r w:rsidRPr="003B5FF3">
        <w:rPr>
          <w:rFonts w:cs="Arial"/>
          <w:sz w:val="22"/>
          <w:szCs w:val="22"/>
        </w:rPr>
        <w:t>f</w:t>
      </w:r>
      <w:r w:rsidR="00D6441A" w:rsidRPr="003B5FF3">
        <w:rPr>
          <w:rFonts w:cs="Arial"/>
          <w:sz w:val="22"/>
          <w:szCs w:val="22"/>
        </w:rPr>
        <w:t xml:space="preserve">or an individual participant established, identify how </w:t>
      </w:r>
      <w:r w:rsidRPr="003B5FF3">
        <w:rPr>
          <w:rFonts w:cs="Arial"/>
          <w:sz w:val="22"/>
          <w:szCs w:val="22"/>
        </w:rPr>
        <w:t xml:space="preserve">the </w:t>
      </w:r>
      <w:r w:rsidR="00D6441A" w:rsidRPr="003B5FF3">
        <w:rPr>
          <w:rFonts w:cs="Arial"/>
          <w:sz w:val="22"/>
          <w:szCs w:val="22"/>
        </w:rPr>
        <w:t xml:space="preserve">limits will be based on the needs of the participant </w:t>
      </w:r>
      <w:r w:rsidRPr="003B5FF3">
        <w:rPr>
          <w:rFonts w:cs="Arial"/>
          <w:sz w:val="22"/>
          <w:szCs w:val="22"/>
        </w:rPr>
        <w:t xml:space="preserve">and </w:t>
      </w:r>
      <w:r w:rsidR="00D6441A" w:rsidRPr="003B5FF3">
        <w:rPr>
          <w:rFonts w:cs="Arial"/>
          <w:sz w:val="22"/>
          <w:szCs w:val="22"/>
        </w:rPr>
        <w:t xml:space="preserve">identified in the individual employment plan. Dollar amount and/or durational limitations established by local board policies must be described in the local </w:t>
      </w:r>
      <w:r w:rsidRPr="003B5FF3">
        <w:rPr>
          <w:rFonts w:cs="Arial"/>
          <w:sz w:val="22"/>
          <w:szCs w:val="22"/>
        </w:rPr>
        <w:t xml:space="preserve">area </w:t>
      </w:r>
      <w:r w:rsidR="00D6441A" w:rsidRPr="003B5FF3">
        <w:rPr>
          <w:rFonts w:cs="Arial"/>
          <w:sz w:val="22"/>
          <w:szCs w:val="22"/>
        </w:rPr>
        <w:t xml:space="preserve">plan. Limitations established by local board policies should not be implemented in a manner that undermines WIOA’s requirement that training services are provided in a manner that maximizes customer choice in the selection of an </w:t>
      </w:r>
      <w:r w:rsidRPr="003B5FF3">
        <w:rPr>
          <w:rFonts w:cs="Arial"/>
          <w:sz w:val="22"/>
          <w:szCs w:val="22"/>
        </w:rPr>
        <w:t>ETP</w:t>
      </w:r>
      <w:r w:rsidR="00D6441A" w:rsidRPr="003B5FF3">
        <w:rPr>
          <w:rFonts w:cs="Arial"/>
          <w:sz w:val="22"/>
          <w:szCs w:val="22"/>
        </w:rPr>
        <w:t>. ITA limitations may provide for exceptions to the limitations in individual cases.</w:t>
      </w:r>
      <w:r w:rsidR="00AB06EC" w:rsidRPr="003B5FF3">
        <w:rPr>
          <w:rStyle w:val="FootnoteReference"/>
          <w:rFonts w:cs="Arial"/>
          <w:sz w:val="22"/>
          <w:szCs w:val="22"/>
        </w:rPr>
        <w:footnoteReference w:id="7"/>
      </w:r>
    </w:p>
    <w:p w14:paraId="564E6CCB" w14:textId="77777777" w:rsidR="00D6441A" w:rsidRPr="003B5FF3" w:rsidRDefault="00D6441A" w:rsidP="00D6441A">
      <w:pPr>
        <w:pStyle w:val="ListParagraph"/>
        <w:rPr>
          <w:rFonts w:cs="Arial"/>
          <w:sz w:val="22"/>
          <w:szCs w:val="22"/>
        </w:rPr>
      </w:pPr>
    </w:p>
    <w:p w14:paraId="19B089C1" w14:textId="7B5BE4B9" w:rsidR="00D6441A" w:rsidRPr="003B5FF3" w:rsidRDefault="00C33A03" w:rsidP="007F06BD">
      <w:pPr>
        <w:pStyle w:val="ListParagraph"/>
        <w:numPr>
          <w:ilvl w:val="0"/>
          <w:numId w:val="2"/>
        </w:numPr>
        <w:jc w:val="both"/>
        <w:rPr>
          <w:rFonts w:cs="Arial"/>
          <w:sz w:val="22"/>
          <w:szCs w:val="22"/>
        </w:rPr>
      </w:pPr>
      <w:r w:rsidRPr="003B5FF3">
        <w:rPr>
          <w:rFonts w:cs="Arial"/>
          <w:sz w:val="22"/>
          <w:szCs w:val="22"/>
        </w:rPr>
        <w:t xml:space="preserve">a </w:t>
      </w:r>
      <w:r w:rsidR="00D6441A" w:rsidRPr="003B5FF3">
        <w:rPr>
          <w:rFonts w:cs="Arial"/>
          <w:sz w:val="22"/>
          <w:szCs w:val="22"/>
        </w:rPr>
        <w:t xml:space="preserve">process for documenting how other sources of funding </w:t>
      </w:r>
      <w:r w:rsidRPr="003B5FF3">
        <w:rPr>
          <w:rFonts w:cs="Arial"/>
          <w:sz w:val="22"/>
          <w:szCs w:val="22"/>
        </w:rPr>
        <w:t xml:space="preserve">are </w:t>
      </w:r>
      <w:r w:rsidR="00D6441A" w:rsidRPr="003B5FF3">
        <w:rPr>
          <w:rFonts w:cs="Arial"/>
          <w:sz w:val="22"/>
          <w:szCs w:val="22"/>
        </w:rPr>
        <w:t xml:space="preserve">sought prior to </w:t>
      </w:r>
      <w:r w:rsidRPr="003B5FF3">
        <w:rPr>
          <w:rFonts w:cs="Arial"/>
          <w:sz w:val="22"/>
          <w:szCs w:val="22"/>
        </w:rPr>
        <w:t xml:space="preserve">establishment of the </w:t>
      </w:r>
      <w:r w:rsidR="00D6441A" w:rsidRPr="003B5FF3">
        <w:rPr>
          <w:rFonts w:cs="Arial"/>
          <w:sz w:val="22"/>
          <w:szCs w:val="22"/>
        </w:rPr>
        <w:t xml:space="preserve">ITA (Pell Grants, </w:t>
      </w:r>
      <w:r w:rsidRPr="003B5FF3">
        <w:rPr>
          <w:rFonts w:cs="Arial"/>
          <w:sz w:val="22"/>
          <w:szCs w:val="22"/>
        </w:rPr>
        <w:t>scholarships, one-stop programs other th</w:t>
      </w:r>
      <w:r w:rsidR="00D6441A" w:rsidRPr="003B5FF3">
        <w:rPr>
          <w:rFonts w:cs="Arial"/>
          <w:sz w:val="22"/>
          <w:szCs w:val="22"/>
        </w:rPr>
        <w:t>an WIOA, etc.)</w:t>
      </w:r>
      <w:r w:rsidRPr="003B5FF3">
        <w:rPr>
          <w:rFonts w:cs="Arial"/>
          <w:sz w:val="22"/>
          <w:szCs w:val="22"/>
        </w:rPr>
        <w:t>;</w:t>
      </w:r>
    </w:p>
    <w:p w14:paraId="24A17B12" w14:textId="77777777" w:rsidR="00D6441A" w:rsidRPr="003B5FF3" w:rsidRDefault="00D6441A" w:rsidP="00D6441A">
      <w:pPr>
        <w:pStyle w:val="ListParagraph"/>
        <w:rPr>
          <w:rFonts w:cs="Arial"/>
          <w:sz w:val="22"/>
          <w:szCs w:val="22"/>
        </w:rPr>
      </w:pPr>
    </w:p>
    <w:p w14:paraId="61FB1FBA" w14:textId="13CC8AE7" w:rsidR="00D6441A" w:rsidRPr="003B5FF3" w:rsidRDefault="00D6441A" w:rsidP="007F06BD">
      <w:pPr>
        <w:pStyle w:val="ListParagraph"/>
        <w:numPr>
          <w:ilvl w:val="0"/>
          <w:numId w:val="2"/>
        </w:numPr>
        <w:jc w:val="both"/>
        <w:rPr>
          <w:rFonts w:cs="Arial"/>
          <w:sz w:val="22"/>
          <w:szCs w:val="22"/>
        </w:rPr>
      </w:pPr>
      <w:r w:rsidRPr="003B5FF3">
        <w:rPr>
          <w:rFonts w:cs="Arial"/>
          <w:sz w:val="22"/>
          <w:szCs w:val="22"/>
        </w:rPr>
        <w:t>internal procedures for evaluating, endorsing, publicizing, and facilitating access to training services</w:t>
      </w:r>
      <w:r w:rsidR="00C33A03" w:rsidRPr="003B5FF3">
        <w:rPr>
          <w:rFonts w:cs="Arial"/>
          <w:sz w:val="22"/>
          <w:szCs w:val="22"/>
        </w:rPr>
        <w:t>;</w:t>
      </w:r>
    </w:p>
    <w:p w14:paraId="79FD19A1" w14:textId="77777777" w:rsidR="00D6441A" w:rsidRPr="003B5FF3" w:rsidRDefault="00D6441A" w:rsidP="00D6441A">
      <w:pPr>
        <w:pStyle w:val="ListParagraph"/>
        <w:rPr>
          <w:rFonts w:cs="Arial"/>
          <w:sz w:val="22"/>
          <w:szCs w:val="22"/>
        </w:rPr>
      </w:pPr>
    </w:p>
    <w:p w14:paraId="7DCD2760" w14:textId="12DA0DB6" w:rsidR="00D6441A" w:rsidRPr="003B5FF3" w:rsidRDefault="00C33A03" w:rsidP="007F06BD">
      <w:pPr>
        <w:pStyle w:val="ListParagraph"/>
        <w:numPr>
          <w:ilvl w:val="0"/>
          <w:numId w:val="2"/>
        </w:numPr>
        <w:jc w:val="both"/>
        <w:rPr>
          <w:rFonts w:cs="Arial"/>
          <w:sz w:val="22"/>
          <w:szCs w:val="22"/>
        </w:rPr>
      </w:pPr>
      <w:r w:rsidRPr="003B5FF3">
        <w:rPr>
          <w:rFonts w:cs="Arial"/>
          <w:sz w:val="22"/>
          <w:szCs w:val="22"/>
        </w:rPr>
        <w:t xml:space="preserve">a </w:t>
      </w:r>
      <w:r w:rsidR="00D6441A" w:rsidRPr="003B5FF3">
        <w:rPr>
          <w:rFonts w:cs="Arial"/>
          <w:sz w:val="22"/>
          <w:szCs w:val="22"/>
        </w:rPr>
        <w:t xml:space="preserve">formal </w:t>
      </w:r>
      <w:r w:rsidR="00C90E8B" w:rsidRPr="003B5FF3">
        <w:rPr>
          <w:rFonts w:cs="Arial"/>
          <w:sz w:val="22"/>
          <w:szCs w:val="22"/>
        </w:rPr>
        <w:t>p</w:t>
      </w:r>
      <w:r w:rsidR="00D6441A" w:rsidRPr="003B5FF3">
        <w:rPr>
          <w:rFonts w:cs="Arial"/>
          <w:sz w:val="22"/>
          <w:szCs w:val="22"/>
        </w:rPr>
        <w:t>rocess for tracking WIOA Title I expenditures paying for the individual’s training</w:t>
      </w:r>
      <w:r w:rsidRPr="003B5FF3">
        <w:rPr>
          <w:rFonts w:cs="Arial"/>
          <w:sz w:val="22"/>
          <w:szCs w:val="22"/>
        </w:rPr>
        <w:t>;</w:t>
      </w:r>
      <w:r w:rsidR="00D6441A" w:rsidRPr="003B5FF3">
        <w:rPr>
          <w:rFonts w:cs="Arial"/>
          <w:sz w:val="22"/>
          <w:szCs w:val="22"/>
        </w:rPr>
        <w:t xml:space="preserve"> </w:t>
      </w:r>
      <w:r w:rsidRPr="003B5FF3">
        <w:rPr>
          <w:rFonts w:cs="Arial"/>
          <w:sz w:val="22"/>
          <w:szCs w:val="22"/>
        </w:rPr>
        <w:t>and</w:t>
      </w:r>
    </w:p>
    <w:p w14:paraId="426C91AD" w14:textId="77777777" w:rsidR="00D6441A" w:rsidRPr="003B5FF3" w:rsidRDefault="00D6441A" w:rsidP="00D6441A">
      <w:pPr>
        <w:pStyle w:val="ListParagraph"/>
        <w:rPr>
          <w:rFonts w:cs="Arial"/>
          <w:sz w:val="22"/>
          <w:szCs w:val="22"/>
        </w:rPr>
      </w:pPr>
    </w:p>
    <w:p w14:paraId="524CC147" w14:textId="351895A4" w:rsidR="00C33A03" w:rsidRPr="003B5FF3" w:rsidRDefault="00C33A03" w:rsidP="007F06BD">
      <w:pPr>
        <w:pStyle w:val="ListParagraph"/>
        <w:numPr>
          <w:ilvl w:val="0"/>
          <w:numId w:val="2"/>
        </w:numPr>
        <w:jc w:val="both"/>
        <w:rPr>
          <w:rFonts w:cs="Arial"/>
          <w:sz w:val="22"/>
          <w:szCs w:val="22"/>
        </w:rPr>
      </w:pPr>
      <w:r w:rsidRPr="003B5FF3">
        <w:rPr>
          <w:rFonts w:cs="Arial"/>
          <w:sz w:val="22"/>
          <w:szCs w:val="22"/>
        </w:rPr>
        <w:t xml:space="preserve">the </w:t>
      </w:r>
      <w:r w:rsidR="00D6441A" w:rsidRPr="003B5FF3">
        <w:rPr>
          <w:rFonts w:cs="Arial"/>
          <w:sz w:val="22"/>
          <w:szCs w:val="22"/>
        </w:rPr>
        <w:t>method of disbursement of funds</w:t>
      </w:r>
      <w:r w:rsidR="0042616B" w:rsidRPr="003B5FF3">
        <w:rPr>
          <w:rFonts w:cs="Arial"/>
          <w:sz w:val="22"/>
          <w:szCs w:val="22"/>
        </w:rPr>
        <w:t>;</w:t>
      </w:r>
    </w:p>
    <w:p w14:paraId="393810CA" w14:textId="77777777" w:rsidR="00C33A03" w:rsidRPr="003B5FF3" w:rsidRDefault="00C33A03" w:rsidP="00C33A03">
      <w:pPr>
        <w:pStyle w:val="ListParagraph"/>
        <w:rPr>
          <w:rFonts w:cs="Arial"/>
          <w:sz w:val="22"/>
          <w:szCs w:val="22"/>
        </w:rPr>
      </w:pPr>
    </w:p>
    <w:p w14:paraId="5A1D60CE" w14:textId="68DDD8A4" w:rsidR="00D6441A" w:rsidRPr="003B5FF3" w:rsidRDefault="00C33A03" w:rsidP="00C33A03">
      <w:pPr>
        <w:pStyle w:val="ListParagraph"/>
        <w:numPr>
          <w:ilvl w:val="1"/>
          <w:numId w:val="2"/>
        </w:numPr>
        <w:jc w:val="both"/>
        <w:rPr>
          <w:rFonts w:cs="Arial"/>
          <w:sz w:val="22"/>
          <w:szCs w:val="22"/>
        </w:rPr>
      </w:pPr>
      <w:r w:rsidRPr="003B5FF3">
        <w:rPr>
          <w:rFonts w:cs="Arial"/>
          <w:b/>
          <w:sz w:val="22"/>
          <w:szCs w:val="22"/>
          <w:u w:val="single"/>
        </w:rPr>
        <w:t xml:space="preserve">Providers on </w:t>
      </w:r>
      <w:r w:rsidR="007B6F20" w:rsidRPr="003B5FF3">
        <w:rPr>
          <w:rFonts w:cs="Arial"/>
          <w:b/>
          <w:sz w:val="22"/>
          <w:szCs w:val="22"/>
          <w:u w:val="single"/>
        </w:rPr>
        <w:t xml:space="preserve">the </w:t>
      </w:r>
      <w:r w:rsidRPr="003B5FF3">
        <w:rPr>
          <w:rFonts w:cs="Arial"/>
          <w:b/>
          <w:sz w:val="22"/>
          <w:szCs w:val="22"/>
          <w:u w:val="single"/>
        </w:rPr>
        <w:t xml:space="preserve">ETPL are the </w:t>
      </w:r>
      <w:r w:rsidR="008049C1" w:rsidRPr="003B5FF3">
        <w:rPr>
          <w:rFonts w:cs="Arial"/>
          <w:b/>
          <w:sz w:val="22"/>
          <w:szCs w:val="22"/>
          <w:u w:val="single"/>
        </w:rPr>
        <w:t xml:space="preserve">ONLY </w:t>
      </w:r>
      <w:r w:rsidRPr="003B5FF3">
        <w:rPr>
          <w:rFonts w:cs="Arial"/>
          <w:b/>
          <w:sz w:val="22"/>
          <w:szCs w:val="22"/>
          <w:u w:val="single"/>
        </w:rPr>
        <w:t>entities eligible to receive funding through ITAs</w:t>
      </w:r>
      <w:r w:rsidRPr="003B5FF3">
        <w:rPr>
          <w:rFonts w:cs="Arial"/>
          <w:b/>
          <w:sz w:val="22"/>
          <w:szCs w:val="22"/>
        </w:rPr>
        <w:t>.</w:t>
      </w:r>
      <w:r w:rsidRPr="003B5FF3">
        <w:rPr>
          <w:rStyle w:val="FootnoteReference"/>
          <w:rFonts w:cs="Arial"/>
          <w:b/>
          <w:sz w:val="22"/>
          <w:szCs w:val="22"/>
        </w:rPr>
        <w:footnoteReference w:id="8"/>
      </w:r>
      <w:r w:rsidR="00D6441A" w:rsidRPr="003B5FF3">
        <w:rPr>
          <w:rFonts w:cs="Arial"/>
          <w:sz w:val="22"/>
          <w:szCs w:val="22"/>
        </w:rPr>
        <w:t xml:space="preserve"> </w:t>
      </w:r>
    </w:p>
    <w:p w14:paraId="362B2968" w14:textId="77777777" w:rsidR="00C613F4" w:rsidRPr="003B5FF3" w:rsidRDefault="00C613F4" w:rsidP="00C613F4">
      <w:pPr>
        <w:jc w:val="both"/>
        <w:rPr>
          <w:rFonts w:cs="Arial"/>
          <w:sz w:val="22"/>
          <w:szCs w:val="22"/>
        </w:rPr>
      </w:pPr>
    </w:p>
    <w:p w14:paraId="4FDD1D51" w14:textId="3130657A" w:rsidR="0042616B" w:rsidRPr="003B5FF3" w:rsidRDefault="0042616B" w:rsidP="0042616B">
      <w:pPr>
        <w:pStyle w:val="ListParagraph"/>
        <w:numPr>
          <w:ilvl w:val="0"/>
          <w:numId w:val="2"/>
        </w:numPr>
        <w:jc w:val="both"/>
        <w:rPr>
          <w:rFonts w:cs="Arial"/>
          <w:sz w:val="22"/>
          <w:szCs w:val="22"/>
        </w:rPr>
      </w:pPr>
      <w:r w:rsidRPr="003B5FF3">
        <w:rPr>
          <w:rFonts w:cs="Arial"/>
          <w:sz w:val="22"/>
          <w:szCs w:val="22"/>
        </w:rPr>
        <w:t>how coordination of ITA funds with other grant assistance will be accomplished:</w:t>
      </w:r>
    </w:p>
    <w:p w14:paraId="70BA90D4" w14:textId="77777777" w:rsidR="0042616B" w:rsidRPr="003B5FF3" w:rsidRDefault="0042616B" w:rsidP="0042616B">
      <w:pPr>
        <w:jc w:val="both"/>
        <w:rPr>
          <w:rFonts w:cs="Arial"/>
          <w:sz w:val="22"/>
          <w:szCs w:val="22"/>
        </w:rPr>
      </w:pPr>
    </w:p>
    <w:p w14:paraId="4052FE24" w14:textId="77777777"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lastRenderedPageBreak/>
        <w:t>Formal procedures so participants will be assisted early in the assessment process, as appropriate, to establish eligibility for Pell Grant funds and other forms of financial aid. This includes helping workforce system customers access the Free Application for Federal Student Aid (FAFSA) form and navigate between the financial aid office and the one-stop career center. Refer to the NDOL Policy on Pell Grants and Other Financial Aid Issues.</w:t>
      </w:r>
    </w:p>
    <w:p w14:paraId="4AEC7EEC" w14:textId="77777777" w:rsidR="0042616B" w:rsidRPr="003B5FF3" w:rsidRDefault="0042616B" w:rsidP="0042616B">
      <w:pPr>
        <w:jc w:val="both"/>
        <w:rPr>
          <w:rFonts w:cs="Arial"/>
          <w:sz w:val="22"/>
          <w:szCs w:val="22"/>
        </w:rPr>
      </w:pPr>
    </w:p>
    <w:p w14:paraId="6DCE0763" w14:textId="77777777"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Guidelines to determine and document, prior to training enrollment, that to the extent practicable, available federal, state, and local resources are coordinated sufficiently to meet the training and education-related costs of services, so that the participant can afford to complete the agreed-upon program successfully. Resources may include wages earned by the participant through employment while attending training.</w:t>
      </w:r>
    </w:p>
    <w:p w14:paraId="13FE5123" w14:textId="77777777" w:rsidR="0042616B" w:rsidRPr="003B5FF3" w:rsidRDefault="0042616B" w:rsidP="0042616B">
      <w:pPr>
        <w:pStyle w:val="ListParagraph"/>
        <w:rPr>
          <w:rFonts w:cs="Arial"/>
          <w:sz w:val="22"/>
          <w:szCs w:val="22"/>
        </w:rPr>
      </w:pPr>
    </w:p>
    <w:p w14:paraId="1E7B5C0C" w14:textId="77777777"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The process to be followed by local staff to record the participant training-related financial assistance needs and the mix of funding assistance (employment and training and HEA funding) in the participant’s record. Also, local policy will establish a methodology to determine the participant training-related financial assistance needs.</w:t>
      </w:r>
    </w:p>
    <w:p w14:paraId="7D86F1E7" w14:textId="77777777" w:rsidR="0042616B" w:rsidRPr="003B5FF3" w:rsidRDefault="0042616B" w:rsidP="0042616B">
      <w:pPr>
        <w:pStyle w:val="ListParagraph"/>
        <w:rPr>
          <w:rFonts w:cs="Arial"/>
          <w:sz w:val="22"/>
          <w:szCs w:val="22"/>
        </w:rPr>
      </w:pPr>
    </w:p>
    <w:p w14:paraId="3CFB17F0" w14:textId="77777777"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Procedures and forms to authorize release of a participant’s financial aid information by the post-secondary institution.</w:t>
      </w:r>
    </w:p>
    <w:p w14:paraId="07D2371F" w14:textId="77777777" w:rsidR="0042616B" w:rsidRPr="003B5FF3" w:rsidRDefault="0042616B" w:rsidP="0042616B">
      <w:pPr>
        <w:pStyle w:val="ListParagraph"/>
        <w:rPr>
          <w:rFonts w:cs="Arial"/>
          <w:sz w:val="22"/>
          <w:szCs w:val="22"/>
        </w:rPr>
      </w:pPr>
    </w:p>
    <w:p w14:paraId="26994714" w14:textId="28B1B9FC"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Narrative ensuring the ITA requires the educational institution’s financial aid officer to inform the career planner of the amounts and disposition of any Pell Grants, and other types of financial aid awarded after the enrollment of the participant, as part of a continuing, regular information sharing process. Also, the ITA contains language to ensure that WIOA funds are used in addition to funds otherwise available and are coordinated with these funds.</w:t>
      </w:r>
    </w:p>
    <w:p w14:paraId="61488130" w14:textId="77777777" w:rsidR="0042616B" w:rsidRPr="003B5FF3" w:rsidRDefault="0042616B" w:rsidP="0042616B">
      <w:pPr>
        <w:pStyle w:val="ListParagraph"/>
        <w:rPr>
          <w:rFonts w:cs="Arial"/>
          <w:sz w:val="22"/>
          <w:szCs w:val="22"/>
        </w:rPr>
      </w:pPr>
    </w:p>
    <w:p w14:paraId="3590EDBF" w14:textId="61D92DD8"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Language specifying that WIOA participants are not required to apply for or access student loans or incur personal debt as a condition of participation. However, the participant may incur personal debt when agreed to and after counseling regarding the responsibilities associated with the indebtedness, including loan repayment. Such counseling must be acknowledged in the participant’s record.</w:t>
      </w:r>
    </w:p>
    <w:p w14:paraId="13FD9407" w14:textId="77777777" w:rsidR="0042616B" w:rsidRPr="003B5FF3" w:rsidRDefault="0042616B" w:rsidP="0042616B">
      <w:pPr>
        <w:pStyle w:val="ListParagraph"/>
        <w:rPr>
          <w:rFonts w:cs="Arial"/>
          <w:sz w:val="22"/>
          <w:szCs w:val="22"/>
        </w:rPr>
      </w:pPr>
    </w:p>
    <w:p w14:paraId="022489A4" w14:textId="2E84A1CE" w:rsidR="0042616B" w:rsidRPr="003B5FF3" w:rsidRDefault="0042616B" w:rsidP="0042616B">
      <w:pPr>
        <w:pStyle w:val="ListParagraph"/>
        <w:numPr>
          <w:ilvl w:val="1"/>
          <w:numId w:val="2"/>
        </w:numPr>
        <w:jc w:val="both"/>
        <w:rPr>
          <w:rFonts w:cs="Arial"/>
          <w:sz w:val="22"/>
          <w:szCs w:val="22"/>
        </w:rPr>
      </w:pPr>
      <w:r w:rsidRPr="003B5FF3">
        <w:rPr>
          <w:rFonts w:cs="Arial"/>
          <w:sz w:val="22"/>
          <w:szCs w:val="22"/>
        </w:rPr>
        <w:t>Safeguards to ensure contracts with training providers prevent participants from being billed for outstanding charges.</w:t>
      </w:r>
    </w:p>
    <w:p w14:paraId="4EC11BCA" w14:textId="77777777" w:rsidR="0042616B" w:rsidRPr="003B5FF3" w:rsidRDefault="0042616B" w:rsidP="0042616B">
      <w:pPr>
        <w:pStyle w:val="ListParagraph"/>
        <w:rPr>
          <w:rFonts w:cs="Arial"/>
          <w:sz w:val="22"/>
          <w:szCs w:val="22"/>
        </w:rPr>
      </w:pPr>
    </w:p>
    <w:p w14:paraId="23C0821F" w14:textId="1326505C" w:rsidR="005D35B9" w:rsidRPr="002D69F4" w:rsidRDefault="0042616B" w:rsidP="00112706">
      <w:pPr>
        <w:pStyle w:val="ListParagraph"/>
        <w:numPr>
          <w:ilvl w:val="1"/>
          <w:numId w:val="2"/>
        </w:numPr>
        <w:jc w:val="both"/>
        <w:rPr>
          <w:rFonts w:cs="Arial"/>
          <w:b/>
          <w:sz w:val="22"/>
          <w:szCs w:val="22"/>
        </w:rPr>
      </w:pPr>
      <w:r w:rsidRPr="002D69F4">
        <w:rPr>
          <w:rFonts w:cs="Arial"/>
          <w:sz w:val="22"/>
          <w:szCs w:val="22"/>
        </w:rPr>
        <w:t>Operating procedures concerning the cost of training and training-related expenses that reflect prudent fiscal management resulting in outstanding customer satisfaction. Every effort should be made to honor the commitments made to clients. However, clients must also assume equal individual responsibility for the success of their training.</w:t>
      </w:r>
    </w:p>
    <w:p w14:paraId="7745144A" w14:textId="77777777" w:rsidR="002D69F4" w:rsidRDefault="002D69F4" w:rsidP="0089485E">
      <w:pPr>
        <w:rPr>
          <w:rFonts w:cs="Arial"/>
          <w:b/>
          <w:sz w:val="22"/>
          <w:szCs w:val="22"/>
        </w:rPr>
      </w:pPr>
    </w:p>
    <w:p w14:paraId="710BEE6D" w14:textId="77777777" w:rsidR="002D69F4" w:rsidRPr="003B5FF3" w:rsidRDefault="002D69F4" w:rsidP="0089485E">
      <w:pPr>
        <w:rPr>
          <w:rFonts w:cs="Arial"/>
          <w:b/>
          <w:sz w:val="22"/>
          <w:szCs w:val="22"/>
        </w:rPr>
      </w:pPr>
    </w:p>
    <w:p w14:paraId="085D159E" w14:textId="77777777" w:rsidR="00E12464" w:rsidRPr="009121C1" w:rsidRDefault="0004107A" w:rsidP="0042616B">
      <w:pPr>
        <w:pStyle w:val="Heading3"/>
        <w:rPr>
          <w:rFonts w:ascii="Arial" w:hAnsi="Arial" w:cs="Arial"/>
          <w:color w:val="0070C0"/>
          <w:sz w:val="22"/>
          <w:szCs w:val="22"/>
          <w:u w:val="single"/>
        </w:rPr>
      </w:pPr>
      <w:r w:rsidRPr="009121C1">
        <w:rPr>
          <w:rFonts w:ascii="Arial" w:hAnsi="Arial" w:cs="Arial"/>
          <w:color w:val="0070C0"/>
          <w:sz w:val="22"/>
          <w:szCs w:val="22"/>
          <w:u w:val="single"/>
        </w:rPr>
        <w:t>Limited Exceptions to the Use of Individual Training Accounts</w:t>
      </w:r>
    </w:p>
    <w:p w14:paraId="76130AF0" w14:textId="77777777" w:rsidR="0004107A" w:rsidRPr="003B5FF3" w:rsidRDefault="0004107A" w:rsidP="00E12464">
      <w:pPr>
        <w:jc w:val="both"/>
        <w:rPr>
          <w:rFonts w:cs="Arial"/>
          <w:sz w:val="22"/>
          <w:szCs w:val="22"/>
          <w:u w:val="single"/>
        </w:rPr>
      </w:pPr>
    </w:p>
    <w:p w14:paraId="53979066" w14:textId="31401F46" w:rsidR="0004107A" w:rsidRPr="003B5FF3" w:rsidRDefault="0004107A" w:rsidP="00E12464">
      <w:pPr>
        <w:jc w:val="both"/>
        <w:rPr>
          <w:rFonts w:cs="Arial"/>
          <w:sz w:val="22"/>
          <w:szCs w:val="22"/>
        </w:rPr>
      </w:pPr>
      <w:r w:rsidRPr="003B5FF3">
        <w:rPr>
          <w:rFonts w:cs="Arial"/>
          <w:sz w:val="22"/>
          <w:szCs w:val="22"/>
        </w:rPr>
        <w:t xml:space="preserve">Contracts for services may be used instead of ITAs </w:t>
      </w:r>
      <w:r w:rsidRPr="003B5FF3">
        <w:rPr>
          <w:rFonts w:cs="Arial"/>
          <w:b/>
          <w:sz w:val="22"/>
          <w:szCs w:val="22"/>
        </w:rPr>
        <w:t xml:space="preserve">only </w:t>
      </w:r>
      <w:r w:rsidRPr="003B5FF3">
        <w:rPr>
          <w:rFonts w:cs="Arial"/>
          <w:sz w:val="22"/>
          <w:szCs w:val="22"/>
        </w:rPr>
        <w:t xml:space="preserve">when one </w:t>
      </w:r>
      <w:r w:rsidR="0089485E" w:rsidRPr="003B5FF3">
        <w:rPr>
          <w:rFonts w:cs="Arial"/>
          <w:sz w:val="22"/>
          <w:szCs w:val="22"/>
        </w:rPr>
        <w:t xml:space="preserve">(1) </w:t>
      </w:r>
      <w:r w:rsidR="00467A0B" w:rsidRPr="003B5FF3">
        <w:rPr>
          <w:rFonts w:cs="Arial"/>
          <w:sz w:val="22"/>
          <w:szCs w:val="22"/>
        </w:rPr>
        <w:t xml:space="preserve">or more </w:t>
      </w:r>
      <w:r w:rsidRPr="003B5FF3">
        <w:rPr>
          <w:rFonts w:cs="Arial"/>
          <w:sz w:val="22"/>
          <w:szCs w:val="22"/>
        </w:rPr>
        <w:t xml:space="preserve">of the following </w:t>
      </w:r>
      <w:r w:rsidR="00467A0B" w:rsidRPr="003B5FF3">
        <w:rPr>
          <w:rFonts w:cs="Arial"/>
          <w:sz w:val="22"/>
          <w:szCs w:val="22"/>
        </w:rPr>
        <w:t xml:space="preserve">five </w:t>
      </w:r>
      <w:r w:rsidR="0089485E" w:rsidRPr="003B5FF3">
        <w:rPr>
          <w:rFonts w:cs="Arial"/>
          <w:sz w:val="22"/>
          <w:szCs w:val="22"/>
        </w:rPr>
        <w:t xml:space="preserve">(5) </w:t>
      </w:r>
      <w:r w:rsidRPr="003B5FF3">
        <w:rPr>
          <w:rFonts w:cs="Arial"/>
          <w:sz w:val="22"/>
          <w:szCs w:val="22"/>
        </w:rPr>
        <w:t>exceptions apply</w:t>
      </w:r>
      <w:r w:rsidR="0089485E" w:rsidRPr="003B5FF3">
        <w:rPr>
          <w:rFonts w:cs="Arial"/>
          <w:sz w:val="22"/>
          <w:szCs w:val="22"/>
        </w:rPr>
        <w:t xml:space="preserve"> and the local area has fulfilled the consumer choice requirements described below</w:t>
      </w:r>
      <w:r w:rsidRPr="003B5FF3">
        <w:rPr>
          <w:rFonts w:cs="Arial"/>
          <w:sz w:val="22"/>
          <w:szCs w:val="22"/>
        </w:rPr>
        <w:t>:</w:t>
      </w:r>
      <w:r w:rsidR="0089485E" w:rsidRPr="003B5FF3">
        <w:rPr>
          <w:rStyle w:val="FootnoteReference"/>
          <w:rFonts w:cs="Arial"/>
          <w:sz w:val="22"/>
          <w:szCs w:val="22"/>
        </w:rPr>
        <w:footnoteReference w:id="9"/>
      </w:r>
    </w:p>
    <w:p w14:paraId="788B7297" w14:textId="77777777" w:rsidR="0004107A" w:rsidRPr="003B5FF3" w:rsidRDefault="0004107A" w:rsidP="00E12464">
      <w:pPr>
        <w:jc w:val="both"/>
        <w:rPr>
          <w:rFonts w:cs="Arial"/>
          <w:sz w:val="22"/>
          <w:szCs w:val="22"/>
        </w:rPr>
      </w:pPr>
    </w:p>
    <w:p w14:paraId="18B80D62" w14:textId="72E56078" w:rsidR="0004107A" w:rsidRPr="003B5FF3" w:rsidRDefault="0089485E" w:rsidP="0004107A">
      <w:pPr>
        <w:pStyle w:val="ListParagraph"/>
        <w:numPr>
          <w:ilvl w:val="0"/>
          <w:numId w:val="3"/>
        </w:numPr>
        <w:jc w:val="both"/>
        <w:rPr>
          <w:rFonts w:cs="Arial"/>
          <w:sz w:val="22"/>
          <w:szCs w:val="22"/>
        </w:rPr>
      </w:pPr>
      <w:r w:rsidRPr="003B5FF3">
        <w:rPr>
          <w:rFonts w:cs="Arial"/>
          <w:sz w:val="22"/>
          <w:szCs w:val="22"/>
        </w:rPr>
        <w:t xml:space="preserve">when </w:t>
      </w:r>
      <w:r w:rsidR="0004107A" w:rsidRPr="003B5FF3">
        <w:rPr>
          <w:rFonts w:cs="Arial"/>
          <w:sz w:val="22"/>
          <w:szCs w:val="22"/>
        </w:rPr>
        <w:t>the services provided are on-the-job training (OJT)</w:t>
      </w:r>
      <w:r w:rsidR="00D55A5B" w:rsidRPr="003B5FF3">
        <w:rPr>
          <w:rFonts w:cs="Arial"/>
          <w:sz w:val="22"/>
          <w:szCs w:val="22"/>
        </w:rPr>
        <w:t>,</w:t>
      </w:r>
      <w:r w:rsidR="0004107A" w:rsidRPr="003B5FF3">
        <w:rPr>
          <w:rFonts w:cs="Arial"/>
          <w:sz w:val="22"/>
          <w:szCs w:val="22"/>
        </w:rPr>
        <w:t xml:space="preserve"> customized training</w:t>
      </w:r>
      <w:r w:rsidR="00D55A5B" w:rsidRPr="003B5FF3">
        <w:rPr>
          <w:rFonts w:cs="Arial"/>
          <w:sz w:val="22"/>
          <w:szCs w:val="22"/>
        </w:rPr>
        <w:t>, incumbent worker training, or transitional employment</w:t>
      </w:r>
      <w:r w:rsidR="00467A0B" w:rsidRPr="003B5FF3">
        <w:rPr>
          <w:rFonts w:cs="Arial"/>
          <w:sz w:val="22"/>
          <w:szCs w:val="22"/>
        </w:rPr>
        <w:t>;</w:t>
      </w:r>
    </w:p>
    <w:p w14:paraId="67E62C42" w14:textId="77777777" w:rsidR="0004107A" w:rsidRPr="003B5FF3" w:rsidRDefault="0004107A" w:rsidP="0004107A">
      <w:pPr>
        <w:pStyle w:val="ListParagraph"/>
        <w:jc w:val="both"/>
        <w:rPr>
          <w:rFonts w:cs="Arial"/>
          <w:sz w:val="22"/>
          <w:szCs w:val="22"/>
        </w:rPr>
      </w:pPr>
    </w:p>
    <w:p w14:paraId="14188301" w14:textId="6C022666" w:rsidR="0089485E" w:rsidRPr="003B5FF3" w:rsidRDefault="0089485E" w:rsidP="0004107A">
      <w:pPr>
        <w:pStyle w:val="ListParagraph"/>
        <w:numPr>
          <w:ilvl w:val="0"/>
          <w:numId w:val="3"/>
        </w:numPr>
        <w:jc w:val="both"/>
        <w:rPr>
          <w:rFonts w:cs="Arial"/>
          <w:sz w:val="22"/>
          <w:szCs w:val="22"/>
        </w:rPr>
      </w:pPr>
      <w:r w:rsidRPr="003B5FF3">
        <w:rPr>
          <w:rFonts w:cs="Arial"/>
          <w:sz w:val="22"/>
          <w:szCs w:val="22"/>
        </w:rPr>
        <w:t xml:space="preserve">when </w:t>
      </w:r>
      <w:r w:rsidR="0004107A" w:rsidRPr="003B5FF3">
        <w:rPr>
          <w:rFonts w:cs="Arial"/>
          <w:sz w:val="22"/>
          <w:szCs w:val="22"/>
        </w:rPr>
        <w:t>the local board determines that there are an insufficient number of eligible training providers in the local area</w:t>
      </w:r>
      <w:r w:rsidR="0011304C" w:rsidRPr="003B5FF3">
        <w:rPr>
          <w:rFonts w:cs="Arial"/>
          <w:sz w:val="22"/>
          <w:szCs w:val="22"/>
        </w:rPr>
        <w:t>;</w:t>
      </w:r>
      <w:r w:rsidR="0004107A" w:rsidRPr="003B5FF3">
        <w:rPr>
          <w:rFonts w:cs="Arial"/>
          <w:sz w:val="22"/>
          <w:szCs w:val="22"/>
        </w:rPr>
        <w:t xml:space="preserve"> </w:t>
      </w:r>
    </w:p>
    <w:p w14:paraId="739C3E6E" w14:textId="77777777" w:rsidR="0089485E" w:rsidRPr="003B5FF3" w:rsidRDefault="0089485E" w:rsidP="0089485E">
      <w:pPr>
        <w:pStyle w:val="ListParagraph"/>
        <w:rPr>
          <w:rFonts w:cs="Arial"/>
          <w:sz w:val="22"/>
          <w:szCs w:val="22"/>
        </w:rPr>
      </w:pPr>
    </w:p>
    <w:p w14:paraId="043CE102" w14:textId="6FF8015E" w:rsidR="0004107A" w:rsidRPr="003B5FF3" w:rsidRDefault="0004107A" w:rsidP="0089485E">
      <w:pPr>
        <w:pStyle w:val="ListParagraph"/>
        <w:numPr>
          <w:ilvl w:val="0"/>
          <w:numId w:val="8"/>
        </w:numPr>
        <w:jc w:val="both"/>
        <w:rPr>
          <w:rFonts w:cs="Arial"/>
          <w:sz w:val="22"/>
          <w:szCs w:val="22"/>
        </w:rPr>
      </w:pPr>
      <w:r w:rsidRPr="003B5FF3">
        <w:rPr>
          <w:rFonts w:cs="Arial"/>
          <w:sz w:val="22"/>
          <w:szCs w:val="22"/>
        </w:rPr>
        <w:t xml:space="preserve">The local </w:t>
      </w:r>
      <w:r w:rsidR="0089485E" w:rsidRPr="003B5FF3">
        <w:rPr>
          <w:rFonts w:cs="Arial"/>
          <w:sz w:val="22"/>
          <w:szCs w:val="22"/>
        </w:rPr>
        <w:t xml:space="preserve">area </w:t>
      </w:r>
      <w:r w:rsidRPr="003B5FF3">
        <w:rPr>
          <w:rFonts w:cs="Arial"/>
          <w:sz w:val="22"/>
          <w:szCs w:val="22"/>
        </w:rPr>
        <w:t xml:space="preserve">plan must describe the process to be used in selecting the providers under a contract for services. </w:t>
      </w:r>
      <w:r w:rsidRPr="003B5FF3">
        <w:rPr>
          <w:rFonts w:cs="Arial"/>
          <w:b/>
          <w:sz w:val="22"/>
          <w:szCs w:val="22"/>
          <w:u w:val="single"/>
        </w:rPr>
        <w:t>This process must include a public comment period for interested providers of at least thirty (30) days</w:t>
      </w:r>
      <w:r w:rsidR="007B6F20" w:rsidRPr="003B5FF3">
        <w:rPr>
          <w:rFonts w:cs="Arial"/>
          <w:b/>
          <w:sz w:val="22"/>
          <w:szCs w:val="22"/>
        </w:rPr>
        <w:t>.</w:t>
      </w:r>
    </w:p>
    <w:p w14:paraId="2E90B4F6" w14:textId="77777777" w:rsidR="0004107A" w:rsidRPr="003B5FF3" w:rsidRDefault="0004107A" w:rsidP="0004107A">
      <w:pPr>
        <w:pStyle w:val="ListParagraph"/>
        <w:rPr>
          <w:rFonts w:cs="Arial"/>
          <w:sz w:val="22"/>
          <w:szCs w:val="22"/>
        </w:rPr>
      </w:pPr>
    </w:p>
    <w:p w14:paraId="3F03786E" w14:textId="61540453" w:rsidR="0089485E" w:rsidRPr="003B5FF3" w:rsidRDefault="0089485E" w:rsidP="0004107A">
      <w:pPr>
        <w:pStyle w:val="ListParagraph"/>
        <w:numPr>
          <w:ilvl w:val="0"/>
          <w:numId w:val="3"/>
        </w:numPr>
        <w:jc w:val="both"/>
        <w:rPr>
          <w:rFonts w:cs="Arial"/>
          <w:sz w:val="22"/>
          <w:szCs w:val="22"/>
        </w:rPr>
      </w:pPr>
      <w:r w:rsidRPr="003B5FF3">
        <w:rPr>
          <w:rFonts w:cs="Arial"/>
          <w:sz w:val="22"/>
          <w:szCs w:val="22"/>
        </w:rPr>
        <w:t xml:space="preserve">when </w:t>
      </w:r>
      <w:r w:rsidR="0004107A" w:rsidRPr="003B5FF3">
        <w:rPr>
          <w:rFonts w:cs="Arial"/>
          <w:sz w:val="22"/>
          <w:szCs w:val="22"/>
        </w:rPr>
        <w:t xml:space="preserve">the local board determines that there is a training services program of demonstrated effectiveness offered in the area by a community-based organization or another private organization to serve </w:t>
      </w:r>
      <w:r w:rsidR="000A4A00" w:rsidRPr="003B5FF3">
        <w:rPr>
          <w:rFonts w:cs="Arial"/>
          <w:sz w:val="22"/>
          <w:szCs w:val="22"/>
        </w:rPr>
        <w:t xml:space="preserve">individuals with </w:t>
      </w:r>
      <w:r w:rsidR="0004107A" w:rsidRPr="003B5FF3">
        <w:rPr>
          <w:rFonts w:cs="Arial"/>
          <w:sz w:val="22"/>
          <w:szCs w:val="22"/>
        </w:rPr>
        <w:t>barriers to employment</w:t>
      </w:r>
      <w:r w:rsidRPr="003B5FF3">
        <w:rPr>
          <w:rFonts w:cs="Arial"/>
          <w:sz w:val="22"/>
          <w:szCs w:val="22"/>
        </w:rPr>
        <w:t xml:space="preserve">; </w:t>
      </w:r>
    </w:p>
    <w:p w14:paraId="08EBAFB7" w14:textId="77777777" w:rsidR="0089485E" w:rsidRPr="003B5FF3" w:rsidRDefault="0089485E" w:rsidP="0089485E">
      <w:pPr>
        <w:ind w:left="360"/>
        <w:jc w:val="both"/>
        <w:rPr>
          <w:rFonts w:cs="Arial"/>
          <w:sz w:val="22"/>
          <w:szCs w:val="22"/>
        </w:rPr>
      </w:pPr>
    </w:p>
    <w:p w14:paraId="007B13CB" w14:textId="13C2A6F7" w:rsidR="0004107A" w:rsidRPr="003B5FF3" w:rsidRDefault="0004107A" w:rsidP="0089485E">
      <w:pPr>
        <w:pStyle w:val="ListParagraph"/>
        <w:numPr>
          <w:ilvl w:val="0"/>
          <w:numId w:val="9"/>
        </w:numPr>
        <w:jc w:val="both"/>
        <w:rPr>
          <w:rFonts w:cs="Arial"/>
          <w:sz w:val="22"/>
          <w:szCs w:val="22"/>
        </w:rPr>
      </w:pPr>
      <w:r w:rsidRPr="003B5FF3">
        <w:rPr>
          <w:rFonts w:cs="Arial"/>
          <w:sz w:val="22"/>
          <w:szCs w:val="22"/>
        </w:rPr>
        <w:t xml:space="preserve">The local board must develop criteria to be used in determining demonstrated effectiveness, particularly as it applies to the </w:t>
      </w:r>
      <w:r w:rsidR="000A4A00" w:rsidRPr="003B5FF3">
        <w:rPr>
          <w:rFonts w:cs="Arial"/>
          <w:sz w:val="22"/>
          <w:szCs w:val="22"/>
        </w:rPr>
        <w:t>individuals with barriers to employment</w:t>
      </w:r>
      <w:r w:rsidRPr="003B5FF3">
        <w:rPr>
          <w:rFonts w:cs="Arial"/>
          <w:sz w:val="22"/>
          <w:szCs w:val="22"/>
        </w:rPr>
        <w:t xml:space="preserve"> to be served. The criteria may include, but </w:t>
      </w:r>
      <w:r w:rsidR="00081DD2" w:rsidRPr="003B5FF3">
        <w:rPr>
          <w:rFonts w:cs="Arial"/>
          <w:sz w:val="22"/>
          <w:szCs w:val="22"/>
        </w:rPr>
        <w:t>are not limited to:</w:t>
      </w:r>
    </w:p>
    <w:p w14:paraId="49E31750" w14:textId="748716D0" w:rsidR="00081DD2" w:rsidRPr="003B5FF3" w:rsidRDefault="0089485E" w:rsidP="0089485E">
      <w:pPr>
        <w:pStyle w:val="ListParagraph"/>
        <w:numPr>
          <w:ilvl w:val="2"/>
          <w:numId w:val="2"/>
        </w:numPr>
        <w:jc w:val="both"/>
        <w:rPr>
          <w:rFonts w:cs="Arial"/>
          <w:sz w:val="22"/>
          <w:szCs w:val="22"/>
        </w:rPr>
      </w:pPr>
      <w:r w:rsidRPr="003B5FF3">
        <w:rPr>
          <w:rFonts w:cs="Arial"/>
          <w:sz w:val="22"/>
          <w:szCs w:val="22"/>
        </w:rPr>
        <w:t>financial stability of the organization;</w:t>
      </w:r>
      <w:r w:rsidR="008D7386" w:rsidRPr="003B5FF3">
        <w:rPr>
          <w:rStyle w:val="FootnoteReference"/>
          <w:rFonts w:cs="Arial"/>
          <w:sz w:val="22"/>
          <w:szCs w:val="22"/>
        </w:rPr>
        <w:footnoteReference w:id="10"/>
      </w:r>
    </w:p>
    <w:p w14:paraId="28023311" w14:textId="772BB843" w:rsidR="00D55A5B" w:rsidRPr="003B5FF3" w:rsidRDefault="0089485E" w:rsidP="0089485E">
      <w:pPr>
        <w:pStyle w:val="ListParagraph"/>
        <w:numPr>
          <w:ilvl w:val="2"/>
          <w:numId w:val="2"/>
        </w:numPr>
        <w:jc w:val="both"/>
        <w:rPr>
          <w:rFonts w:cs="Arial"/>
          <w:sz w:val="22"/>
          <w:szCs w:val="22"/>
        </w:rPr>
      </w:pPr>
      <w:r w:rsidRPr="003B5FF3">
        <w:rPr>
          <w:rFonts w:cs="Arial"/>
          <w:sz w:val="22"/>
          <w:szCs w:val="22"/>
        </w:rPr>
        <w:t>demonstrated performance in the delivery of services to hard to serve participant populations through such means as program completion rate; attainment of skills, certificates or degrees the program is designed to provide; placement after training in unsubsidized employment and retention in employment; and</w:t>
      </w:r>
    </w:p>
    <w:p w14:paraId="776DCA9F" w14:textId="4EB5D5CD" w:rsidR="00D55A5B" w:rsidRPr="003B5FF3" w:rsidRDefault="0089485E" w:rsidP="0089485E">
      <w:pPr>
        <w:pStyle w:val="ListParagraph"/>
        <w:numPr>
          <w:ilvl w:val="2"/>
          <w:numId w:val="2"/>
        </w:numPr>
        <w:jc w:val="both"/>
        <w:rPr>
          <w:rFonts w:cs="Arial"/>
          <w:sz w:val="22"/>
          <w:szCs w:val="22"/>
        </w:rPr>
      </w:pPr>
      <w:r w:rsidRPr="003B5FF3">
        <w:rPr>
          <w:rFonts w:cs="Arial"/>
          <w:sz w:val="22"/>
          <w:szCs w:val="22"/>
        </w:rPr>
        <w:t>the relevance of the specific program to the workforce development needs identified in the local plan;</w:t>
      </w:r>
    </w:p>
    <w:p w14:paraId="736A540D" w14:textId="0BC6B7BD" w:rsidR="007D41AB" w:rsidRPr="003B5FF3" w:rsidRDefault="000A4A00" w:rsidP="007D41AB">
      <w:pPr>
        <w:pStyle w:val="ListParagraph"/>
        <w:numPr>
          <w:ilvl w:val="0"/>
          <w:numId w:val="9"/>
        </w:numPr>
        <w:jc w:val="both"/>
        <w:rPr>
          <w:rFonts w:cs="Arial"/>
          <w:sz w:val="22"/>
          <w:szCs w:val="22"/>
        </w:rPr>
      </w:pPr>
      <w:r w:rsidRPr="003B5FF3">
        <w:rPr>
          <w:rFonts w:cs="Arial"/>
          <w:sz w:val="22"/>
          <w:szCs w:val="22"/>
        </w:rPr>
        <w:t>Individuals with barriers to employment include the following</w:t>
      </w:r>
      <w:r w:rsidR="00D55A5B" w:rsidRPr="003B5FF3">
        <w:rPr>
          <w:rFonts w:cs="Arial"/>
          <w:sz w:val="22"/>
          <w:szCs w:val="22"/>
        </w:rPr>
        <w:t xml:space="preserve">: </w:t>
      </w:r>
    </w:p>
    <w:p w14:paraId="5B0D479B"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displaced homemakers</w:t>
      </w:r>
      <w:r w:rsidR="00D55A5B" w:rsidRPr="003B5FF3">
        <w:rPr>
          <w:rFonts w:cs="Arial"/>
          <w:sz w:val="22"/>
          <w:szCs w:val="22"/>
        </w:rPr>
        <w:t xml:space="preserve">; </w:t>
      </w:r>
    </w:p>
    <w:p w14:paraId="6956ABA1"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low-income individuals</w:t>
      </w:r>
      <w:r w:rsidR="00D55A5B" w:rsidRPr="003B5FF3">
        <w:rPr>
          <w:rFonts w:cs="Arial"/>
          <w:sz w:val="22"/>
          <w:szCs w:val="22"/>
        </w:rPr>
        <w:t xml:space="preserve">; </w:t>
      </w:r>
    </w:p>
    <w:p w14:paraId="44F56A68"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Indians, Alaska Natives, and Native Hawaiians</w:t>
      </w:r>
      <w:r w:rsidR="00D55A5B" w:rsidRPr="003B5FF3">
        <w:rPr>
          <w:rFonts w:cs="Arial"/>
          <w:sz w:val="22"/>
          <w:szCs w:val="22"/>
        </w:rPr>
        <w:t xml:space="preserve">; </w:t>
      </w:r>
    </w:p>
    <w:p w14:paraId="7F7A397A"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individuals with disabilities; </w:t>
      </w:r>
    </w:p>
    <w:p w14:paraId="68992EBD"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older individuals, i.e., those aged 55 or over; </w:t>
      </w:r>
    </w:p>
    <w:p w14:paraId="6C76E343"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ex-offenders; </w:t>
      </w:r>
    </w:p>
    <w:p w14:paraId="0040A458"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homeless individuals; </w:t>
      </w:r>
    </w:p>
    <w:p w14:paraId="18C23C5C"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youth who are in or have aged out of the foster care system; </w:t>
      </w:r>
    </w:p>
    <w:p w14:paraId="03B7F8AB"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individuals who are English language learners</w:t>
      </w:r>
      <w:r w:rsidR="007D41AB" w:rsidRPr="003B5FF3">
        <w:rPr>
          <w:rFonts w:cs="Arial"/>
          <w:sz w:val="22"/>
          <w:szCs w:val="22"/>
        </w:rPr>
        <w:t>;</w:t>
      </w:r>
      <w:r w:rsidRPr="003B5FF3">
        <w:rPr>
          <w:rFonts w:cs="Arial"/>
          <w:sz w:val="22"/>
          <w:szCs w:val="22"/>
        </w:rPr>
        <w:t xml:space="preserve"> </w:t>
      </w:r>
    </w:p>
    <w:p w14:paraId="4D49DB2C"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individuals who have low levels of literacy</w:t>
      </w:r>
      <w:r w:rsidR="007D41AB" w:rsidRPr="003B5FF3">
        <w:rPr>
          <w:rFonts w:cs="Arial"/>
          <w:sz w:val="22"/>
          <w:szCs w:val="22"/>
        </w:rPr>
        <w:t>;</w:t>
      </w:r>
    </w:p>
    <w:p w14:paraId="1B08248A"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individuals facing substantial cultural barriers; </w:t>
      </w:r>
    </w:p>
    <w:p w14:paraId="562E3A3C"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eligible migrant and seasonal farmworkers [defined in Sec. 167(i) of WIOA]; </w:t>
      </w:r>
    </w:p>
    <w:p w14:paraId="41D6817C" w14:textId="3A6E5A9F"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 xml:space="preserve">individuals with </w:t>
      </w:r>
      <w:r w:rsidR="00C613F4" w:rsidRPr="003B5FF3">
        <w:rPr>
          <w:rFonts w:cs="Arial"/>
          <w:sz w:val="22"/>
          <w:szCs w:val="22"/>
        </w:rPr>
        <w:t>two (</w:t>
      </w:r>
      <w:r w:rsidRPr="003B5FF3">
        <w:rPr>
          <w:rFonts w:cs="Arial"/>
          <w:sz w:val="22"/>
          <w:szCs w:val="22"/>
        </w:rPr>
        <w:t>2</w:t>
      </w:r>
      <w:r w:rsidR="00C613F4" w:rsidRPr="003B5FF3">
        <w:rPr>
          <w:rFonts w:cs="Arial"/>
          <w:sz w:val="22"/>
          <w:szCs w:val="22"/>
        </w:rPr>
        <w:t>)</w:t>
      </w:r>
      <w:r w:rsidRPr="003B5FF3">
        <w:rPr>
          <w:rFonts w:cs="Arial"/>
          <w:sz w:val="22"/>
          <w:szCs w:val="22"/>
        </w:rPr>
        <w:t xml:space="preserve"> years of exhausting lifetime eligibility under Temporary Assistance for Needy Families (TANF); </w:t>
      </w:r>
    </w:p>
    <w:p w14:paraId="572EE67E" w14:textId="77777777" w:rsidR="007D41AB" w:rsidRPr="003B5FF3" w:rsidRDefault="000A4A00" w:rsidP="00762172">
      <w:pPr>
        <w:pStyle w:val="ListParagraph"/>
        <w:numPr>
          <w:ilvl w:val="2"/>
          <w:numId w:val="2"/>
        </w:numPr>
        <w:jc w:val="both"/>
        <w:rPr>
          <w:rFonts w:cs="Arial"/>
          <w:sz w:val="22"/>
          <w:szCs w:val="22"/>
        </w:rPr>
      </w:pPr>
      <w:r w:rsidRPr="003B5FF3">
        <w:rPr>
          <w:rFonts w:cs="Arial"/>
          <w:sz w:val="22"/>
          <w:szCs w:val="22"/>
        </w:rPr>
        <w:t>Single-parents (including single pregnant women)</w:t>
      </w:r>
      <w:r w:rsidR="00467A0B" w:rsidRPr="003B5FF3">
        <w:rPr>
          <w:rFonts w:cs="Arial"/>
          <w:sz w:val="22"/>
          <w:szCs w:val="22"/>
        </w:rPr>
        <w:t xml:space="preserve">; </w:t>
      </w:r>
    </w:p>
    <w:p w14:paraId="13693D09" w14:textId="77777777" w:rsidR="007D41AB" w:rsidRPr="003B5FF3" w:rsidRDefault="00467A0B" w:rsidP="00762172">
      <w:pPr>
        <w:pStyle w:val="ListParagraph"/>
        <w:numPr>
          <w:ilvl w:val="2"/>
          <w:numId w:val="2"/>
        </w:numPr>
        <w:jc w:val="both"/>
        <w:rPr>
          <w:rFonts w:cs="Arial"/>
          <w:sz w:val="22"/>
          <w:szCs w:val="22"/>
        </w:rPr>
      </w:pPr>
      <w:r w:rsidRPr="003B5FF3">
        <w:rPr>
          <w:rFonts w:cs="Arial"/>
          <w:sz w:val="22"/>
          <w:szCs w:val="22"/>
        </w:rPr>
        <w:t xml:space="preserve">long-term unemployed individuals; </w:t>
      </w:r>
      <w:r w:rsidR="007D41AB" w:rsidRPr="003B5FF3">
        <w:rPr>
          <w:rFonts w:cs="Arial"/>
          <w:sz w:val="22"/>
          <w:szCs w:val="22"/>
        </w:rPr>
        <w:t>and</w:t>
      </w:r>
    </w:p>
    <w:p w14:paraId="74DBBD46" w14:textId="3E9F1190" w:rsidR="00D55A5B" w:rsidRPr="003B5FF3" w:rsidRDefault="00467A0B" w:rsidP="00762172">
      <w:pPr>
        <w:pStyle w:val="ListParagraph"/>
        <w:numPr>
          <w:ilvl w:val="2"/>
          <w:numId w:val="2"/>
        </w:numPr>
        <w:jc w:val="both"/>
        <w:rPr>
          <w:rFonts w:cs="Arial"/>
          <w:sz w:val="22"/>
          <w:szCs w:val="22"/>
        </w:rPr>
      </w:pPr>
      <w:r w:rsidRPr="003B5FF3">
        <w:rPr>
          <w:rFonts w:cs="Arial"/>
          <w:sz w:val="22"/>
          <w:szCs w:val="22"/>
        </w:rPr>
        <w:t>other groups determined by the governor to have barriers to employment</w:t>
      </w:r>
      <w:r w:rsidR="00D55A5B" w:rsidRPr="003B5FF3">
        <w:rPr>
          <w:rFonts w:cs="Arial"/>
          <w:sz w:val="22"/>
          <w:szCs w:val="22"/>
        </w:rPr>
        <w:t>.</w:t>
      </w:r>
    </w:p>
    <w:p w14:paraId="2CF90F7B" w14:textId="77777777" w:rsidR="00447AC5" w:rsidRPr="003B5FF3" w:rsidRDefault="00447AC5" w:rsidP="00D55A5B">
      <w:pPr>
        <w:jc w:val="both"/>
        <w:rPr>
          <w:rFonts w:cs="Arial"/>
          <w:sz w:val="22"/>
          <w:szCs w:val="22"/>
        </w:rPr>
      </w:pPr>
    </w:p>
    <w:p w14:paraId="69D3AEA2" w14:textId="2987F817" w:rsidR="00AB06EC" w:rsidRPr="003B5FF3" w:rsidRDefault="007D41AB" w:rsidP="007238E2">
      <w:pPr>
        <w:pStyle w:val="ListParagraph"/>
        <w:numPr>
          <w:ilvl w:val="0"/>
          <w:numId w:val="3"/>
        </w:numPr>
        <w:jc w:val="both"/>
        <w:rPr>
          <w:rFonts w:cs="Arial"/>
          <w:sz w:val="22"/>
          <w:szCs w:val="22"/>
        </w:rPr>
      </w:pPr>
      <w:r w:rsidRPr="003B5FF3">
        <w:rPr>
          <w:rFonts w:cs="Arial"/>
          <w:sz w:val="22"/>
          <w:szCs w:val="22"/>
        </w:rPr>
        <w:t xml:space="preserve">when </w:t>
      </w:r>
      <w:r w:rsidR="00AB06EC" w:rsidRPr="003B5FF3">
        <w:rPr>
          <w:rFonts w:cs="Arial"/>
          <w:sz w:val="22"/>
          <w:szCs w:val="22"/>
        </w:rPr>
        <w:t>the local board determines that it would be most appropriate to contract with an institution of higher education or other eligible provider of training services</w:t>
      </w:r>
      <w:r w:rsidR="009C4B8A" w:rsidRPr="003B5FF3">
        <w:rPr>
          <w:rFonts w:cs="Arial"/>
          <w:sz w:val="22"/>
          <w:szCs w:val="22"/>
        </w:rPr>
        <w:t xml:space="preserve"> that</w:t>
      </w:r>
      <w:r w:rsidR="00AB06EC" w:rsidRPr="003B5FF3">
        <w:rPr>
          <w:rFonts w:cs="Arial"/>
          <w:sz w:val="22"/>
          <w:szCs w:val="22"/>
        </w:rPr>
        <w:t xml:space="preserve"> </w:t>
      </w:r>
      <w:r w:rsidR="000A4A00" w:rsidRPr="003B5FF3">
        <w:rPr>
          <w:rFonts w:cs="Arial"/>
          <w:sz w:val="22"/>
          <w:szCs w:val="22"/>
        </w:rPr>
        <w:t>will facilitate the training of multiple individuals in in-demand industry sectors or occupations, provided that the contract does not</w:t>
      </w:r>
      <w:r w:rsidRPr="003B5FF3">
        <w:rPr>
          <w:rFonts w:cs="Arial"/>
          <w:sz w:val="22"/>
          <w:szCs w:val="22"/>
        </w:rPr>
        <w:t xml:space="preserve"> limit consumer choice;</w:t>
      </w:r>
      <w:r w:rsidR="0011304C" w:rsidRPr="003B5FF3">
        <w:rPr>
          <w:rFonts w:cs="Arial"/>
          <w:sz w:val="22"/>
          <w:szCs w:val="22"/>
        </w:rPr>
        <w:t xml:space="preserve"> or</w:t>
      </w:r>
    </w:p>
    <w:p w14:paraId="78DF6B98" w14:textId="77777777" w:rsidR="000A4A00" w:rsidRPr="003B5FF3" w:rsidRDefault="000A4A00" w:rsidP="007238E2">
      <w:pPr>
        <w:pStyle w:val="ListParagraph"/>
        <w:jc w:val="both"/>
        <w:rPr>
          <w:rFonts w:cs="Arial"/>
          <w:sz w:val="22"/>
          <w:szCs w:val="22"/>
        </w:rPr>
      </w:pPr>
    </w:p>
    <w:p w14:paraId="2E2F91E4" w14:textId="64E7DC6A" w:rsidR="000A4A00" w:rsidRPr="003B5FF3" w:rsidRDefault="007D41AB" w:rsidP="007238E2">
      <w:pPr>
        <w:pStyle w:val="ListParagraph"/>
        <w:numPr>
          <w:ilvl w:val="0"/>
          <w:numId w:val="3"/>
        </w:numPr>
        <w:jc w:val="both"/>
        <w:rPr>
          <w:rFonts w:cs="Arial"/>
          <w:sz w:val="22"/>
          <w:szCs w:val="22"/>
        </w:rPr>
      </w:pPr>
      <w:r w:rsidRPr="003B5FF3">
        <w:rPr>
          <w:rFonts w:cs="Arial"/>
          <w:sz w:val="22"/>
          <w:szCs w:val="22"/>
        </w:rPr>
        <w:t xml:space="preserve">when </w:t>
      </w:r>
      <w:r w:rsidR="000A4A00" w:rsidRPr="003B5FF3">
        <w:rPr>
          <w:rFonts w:cs="Arial"/>
          <w:sz w:val="22"/>
          <w:szCs w:val="22"/>
        </w:rPr>
        <w:t xml:space="preserve">the local board is considering entering into a pay-for-performance contract, </w:t>
      </w:r>
      <w:r w:rsidRPr="003B5FF3">
        <w:rPr>
          <w:rFonts w:cs="Arial"/>
          <w:sz w:val="22"/>
          <w:szCs w:val="22"/>
        </w:rPr>
        <w:t xml:space="preserve">and </w:t>
      </w:r>
      <w:r w:rsidR="000A4A00" w:rsidRPr="003B5FF3">
        <w:rPr>
          <w:rFonts w:cs="Arial"/>
          <w:sz w:val="22"/>
          <w:szCs w:val="22"/>
        </w:rPr>
        <w:t xml:space="preserve">the local board ensures the contract is consistent with </w:t>
      </w:r>
      <w:r w:rsidRPr="003B5FF3">
        <w:rPr>
          <w:rFonts w:cs="Arial"/>
          <w:sz w:val="22"/>
          <w:szCs w:val="22"/>
        </w:rPr>
        <w:t xml:space="preserve">WIOA requirements on pay-for-performance contracts (see </w:t>
      </w:r>
      <w:r w:rsidR="000A4A00" w:rsidRPr="003B5FF3">
        <w:rPr>
          <w:rFonts w:cs="Arial"/>
          <w:sz w:val="22"/>
          <w:szCs w:val="22"/>
        </w:rPr>
        <w:t>20 CFR § 683.510</w:t>
      </w:r>
      <w:r w:rsidRPr="003B5FF3">
        <w:rPr>
          <w:rFonts w:cs="Arial"/>
          <w:sz w:val="22"/>
          <w:szCs w:val="22"/>
        </w:rPr>
        <w:t>)</w:t>
      </w:r>
      <w:r w:rsidR="000A4A00" w:rsidRPr="003B5FF3">
        <w:rPr>
          <w:rFonts w:cs="Arial"/>
          <w:sz w:val="22"/>
          <w:szCs w:val="22"/>
        </w:rPr>
        <w:t>.</w:t>
      </w:r>
    </w:p>
    <w:p w14:paraId="06557D81" w14:textId="77777777" w:rsidR="00AB06EC" w:rsidRPr="003B5FF3" w:rsidRDefault="00AB06EC" w:rsidP="00D55A5B">
      <w:pPr>
        <w:jc w:val="both"/>
        <w:rPr>
          <w:rFonts w:cs="Arial"/>
          <w:sz w:val="22"/>
          <w:szCs w:val="22"/>
        </w:rPr>
      </w:pPr>
    </w:p>
    <w:p w14:paraId="18BC6E0B" w14:textId="71C6B95D" w:rsidR="00447AC5" w:rsidRPr="003B5FF3" w:rsidRDefault="00447AC5" w:rsidP="00D55A5B">
      <w:pPr>
        <w:jc w:val="both"/>
        <w:rPr>
          <w:rFonts w:cs="Arial"/>
          <w:sz w:val="22"/>
          <w:szCs w:val="22"/>
        </w:rPr>
      </w:pPr>
      <w:r w:rsidRPr="003B5FF3">
        <w:rPr>
          <w:rFonts w:cs="Arial"/>
          <w:b/>
          <w:sz w:val="22"/>
          <w:szCs w:val="22"/>
          <w:u w:val="single"/>
        </w:rPr>
        <w:t>Exceptions are intended to meet special needs and should be used infrequently</w:t>
      </w:r>
      <w:r w:rsidRPr="003B5FF3">
        <w:rPr>
          <w:rFonts w:cs="Arial"/>
          <w:sz w:val="22"/>
          <w:szCs w:val="22"/>
        </w:rPr>
        <w:t>.</w:t>
      </w:r>
    </w:p>
    <w:p w14:paraId="4FB940BD" w14:textId="77777777" w:rsidR="007F7CCD" w:rsidRPr="003B5FF3" w:rsidRDefault="007F7CCD" w:rsidP="00D55A5B">
      <w:pPr>
        <w:jc w:val="both"/>
        <w:rPr>
          <w:rFonts w:cs="Arial"/>
          <w:sz w:val="22"/>
          <w:szCs w:val="22"/>
        </w:rPr>
      </w:pPr>
    </w:p>
    <w:p w14:paraId="2B4CAE03" w14:textId="77777777" w:rsidR="005D35B9" w:rsidRPr="003B5FF3" w:rsidRDefault="005D35B9" w:rsidP="00D55A5B">
      <w:pPr>
        <w:jc w:val="both"/>
        <w:rPr>
          <w:rFonts w:cs="Arial"/>
          <w:sz w:val="22"/>
          <w:szCs w:val="22"/>
        </w:rPr>
      </w:pPr>
    </w:p>
    <w:p w14:paraId="304591FF" w14:textId="28A42B16" w:rsidR="00E12464" w:rsidRPr="009121C1" w:rsidRDefault="00447AC5" w:rsidP="0042616B">
      <w:pPr>
        <w:pStyle w:val="Heading2"/>
        <w:jc w:val="center"/>
        <w:rPr>
          <w:rFonts w:ascii="Arial" w:hAnsi="Arial" w:cs="Arial"/>
          <w:b/>
          <w:color w:val="0070C0"/>
          <w:sz w:val="22"/>
          <w:szCs w:val="22"/>
        </w:rPr>
      </w:pPr>
      <w:r w:rsidRPr="009121C1">
        <w:rPr>
          <w:rFonts w:ascii="Arial" w:hAnsi="Arial" w:cs="Arial"/>
          <w:b/>
          <w:color w:val="0070C0"/>
          <w:sz w:val="22"/>
          <w:szCs w:val="22"/>
        </w:rPr>
        <w:t>Consumer Choice</w:t>
      </w:r>
      <w:r w:rsidR="007D41AB" w:rsidRPr="009121C1">
        <w:rPr>
          <w:rFonts w:ascii="Arial" w:hAnsi="Arial" w:cs="Arial"/>
          <w:b/>
          <w:color w:val="0070C0"/>
          <w:sz w:val="22"/>
          <w:szCs w:val="22"/>
        </w:rPr>
        <w:t xml:space="preserve"> Requirements</w:t>
      </w:r>
      <w:r w:rsidR="007D41AB" w:rsidRPr="009121C1">
        <w:rPr>
          <w:rStyle w:val="FootnoteReference"/>
          <w:rFonts w:ascii="Arial" w:hAnsi="Arial" w:cs="Arial"/>
          <w:b/>
          <w:color w:val="0070C0"/>
          <w:sz w:val="22"/>
          <w:szCs w:val="22"/>
        </w:rPr>
        <w:footnoteReference w:id="11"/>
      </w:r>
    </w:p>
    <w:p w14:paraId="77FEA160" w14:textId="77777777" w:rsidR="00447AC5" w:rsidRPr="003B5FF3" w:rsidRDefault="00447AC5" w:rsidP="00447AC5">
      <w:pPr>
        <w:jc w:val="center"/>
        <w:rPr>
          <w:rFonts w:cs="Arial"/>
          <w:b/>
          <w:sz w:val="22"/>
          <w:szCs w:val="22"/>
        </w:rPr>
      </w:pPr>
    </w:p>
    <w:p w14:paraId="7E81D37C" w14:textId="122124A6" w:rsidR="00447AC5" w:rsidRPr="003B5FF3" w:rsidRDefault="00447AC5" w:rsidP="00447AC5">
      <w:pPr>
        <w:jc w:val="both"/>
        <w:rPr>
          <w:rFonts w:cs="Arial"/>
          <w:sz w:val="22"/>
          <w:szCs w:val="22"/>
        </w:rPr>
      </w:pPr>
      <w:r w:rsidRPr="003B5FF3">
        <w:rPr>
          <w:rFonts w:cs="Arial"/>
          <w:sz w:val="22"/>
          <w:szCs w:val="22"/>
        </w:rPr>
        <w:t xml:space="preserve">Training services, whether accessed by ITAs or under contract, must be provided in a manner that maximizes informed consumer choice in selecting an eligible training provider in accordance with the goals and objectives outlined in the </w:t>
      </w:r>
      <w:r w:rsidR="007D41AB" w:rsidRPr="003B5FF3">
        <w:rPr>
          <w:rFonts w:cs="Arial"/>
          <w:sz w:val="22"/>
          <w:szCs w:val="22"/>
        </w:rPr>
        <w:t xml:space="preserve">participant’s </w:t>
      </w:r>
      <w:r w:rsidRPr="003B5FF3">
        <w:rPr>
          <w:rFonts w:cs="Arial"/>
          <w:sz w:val="22"/>
          <w:szCs w:val="22"/>
        </w:rPr>
        <w:t>individual employment plan</w:t>
      </w:r>
      <w:r w:rsidR="007D41AB" w:rsidRPr="003B5FF3">
        <w:rPr>
          <w:rFonts w:cs="Arial"/>
          <w:sz w:val="22"/>
          <w:szCs w:val="22"/>
        </w:rPr>
        <w:t>:</w:t>
      </w:r>
    </w:p>
    <w:p w14:paraId="559B46BD" w14:textId="77777777" w:rsidR="00447AC5" w:rsidRPr="003B5FF3" w:rsidRDefault="00447AC5" w:rsidP="00447AC5">
      <w:pPr>
        <w:jc w:val="both"/>
        <w:rPr>
          <w:rFonts w:cs="Arial"/>
          <w:sz w:val="22"/>
          <w:szCs w:val="22"/>
        </w:rPr>
      </w:pPr>
    </w:p>
    <w:p w14:paraId="104B2126" w14:textId="77777777" w:rsidR="007D41AB" w:rsidRPr="003B5FF3" w:rsidRDefault="00447AC5" w:rsidP="00762172">
      <w:pPr>
        <w:pStyle w:val="ListParagraph"/>
        <w:numPr>
          <w:ilvl w:val="0"/>
          <w:numId w:val="11"/>
        </w:numPr>
        <w:jc w:val="both"/>
        <w:rPr>
          <w:rFonts w:cs="Arial"/>
          <w:sz w:val="22"/>
          <w:szCs w:val="22"/>
        </w:rPr>
      </w:pPr>
      <w:r w:rsidRPr="003B5FF3">
        <w:rPr>
          <w:rFonts w:cs="Arial"/>
          <w:sz w:val="22"/>
          <w:szCs w:val="22"/>
        </w:rPr>
        <w:t xml:space="preserve">The local board, through </w:t>
      </w:r>
      <w:r w:rsidR="007D41AB" w:rsidRPr="003B5FF3">
        <w:rPr>
          <w:rFonts w:cs="Arial"/>
          <w:sz w:val="22"/>
          <w:szCs w:val="22"/>
        </w:rPr>
        <w:t>the one-stop center</w:t>
      </w:r>
      <w:r w:rsidRPr="003B5FF3">
        <w:rPr>
          <w:rFonts w:cs="Arial"/>
          <w:sz w:val="22"/>
          <w:szCs w:val="22"/>
        </w:rPr>
        <w:t xml:space="preserve">, must make </w:t>
      </w:r>
      <w:r w:rsidR="007F7CCD" w:rsidRPr="003B5FF3">
        <w:rPr>
          <w:rFonts w:cs="Arial"/>
          <w:sz w:val="22"/>
          <w:szCs w:val="22"/>
        </w:rPr>
        <w:t xml:space="preserve">the </w:t>
      </w:r>
      <w:r w:rsidR="007D41AB" w:rsidRPr="003B5FF3">
        <w:rPr>
          <w:rFonts w:cs="Arial"/>
          <w:sz w:val="22"/>
          <w:szCs w:val="22"/>
        </w:rPr>
        <w:t xml:space="preserve">ETPL </w:t>
      </w:r>
      <w:r w:rsidRPr="003B5FF3">
        <w:rPr>
          <w:rFonts w:cs="Arial"/>
          <w:sz w:val="22"/>
          <w:szCs w:val="22"/>
        </w:rPr>
        <w:t xml:space="preserve">available to </w:t>
      </w:r>
      <w:r w:rsidR="000C0FF6" w:rsidRPr="003B5FF3">
        <w:rPr>
          <w:rFonts w:cs="Arial"/>
          <w:sz w:val="22"/>
          <w:szCs w:val="22"/>
        </w:rPr>
        <w:t xml:space="preserve">customers. </w:t>
      </w:r>
    </w:p>
    <w:p w14:paraId="406416A4" w14:textId="77777777" w:rsidR="00762172" w:rsidRPr="003B5FF3" w:rsidRDefault="00762172" w:rsidP="00447AC5">
      <w:pPr>
        <w:jc w:val="both"/>
        <w:rPr>
          <w:rFonts w:cs="Arial"/>
          <w:sz w:val="22"/>
          <w:szCs w:val="22"/>
        </w:rPr>
      </w:pPr>
    </w:p>
    <w:p w14:paraId="427B9B94" w14:textId="319D309C" w:rsidR="007D41AB" w:rsidRPr="003B5FF3" w:rsidRDefault="000C0FF6" w:rsidP="00762172">
      <w:pPr>
        <w:pStyle w:val="ListParagraph"/>
        <w:numPr>
          <w:ilvl w:val="0"/>
          <w:numId w:val="11"/>
        </w:numPr>
        <w:jc w:val="both"/>
        <w:rPr>
          <w:rFonts w:cs="Arial"/>
          <w:sz w:val="22"/>
          <w:szCs w:val="22"/>
        </w:rPr>
      </w:pPr>
      <w:r w:rsidRPr="003B5FF3">
        <w:rPr>
          <w:rFonts w:cs="Arial"/>
          <w:sz w:val="22"/>
          <w:szCs w:val="22"/>
        </w:rPr>
        <w:t xml:space="preserve">An individual who has been determined eligible for training services may select a provider from the </w:t>
      </w:r>
      <w:r w:rsidR="007D41AB" w:rsidRPr="003B5FF3">
        <w:rPr>
          <w:rFonts w:cs="Arial"/>
          <w:sz w:val="22"/>
          <w:szCs w:val="22"/>
        </w:rPr>
        <w:t xml:space="preserve">ETPL </w:t>
      </w:r>
      <w:r w:rsidR="006D58DB" w:rsidRPr="003B5FF3">
        <w:rPr>
          <w:rFonts w:cs="Arial"/>
          <w:sz w:val="22"/>
          <w:szCs w:val="22"/>
        </w:rPr>
        <w:t xml:space="preserve">after </w:t>
      </w:r>
      <w:r w:rsidRPr="003B5FF3">
        <w:rPr>
          <w:rFonts w:cs="Arial"/>
          <w:sz w:val="22"/>
          <w:szCs w:val="22"/>
        </w:rPr>
        <w:t xml:space="preserve">consultation with a </w:t>
      </w:r>
      <w:r w:rsidR="007D41AB" w:rsidRPr="003B5FF3">
        <w:rPr>
          <w:rFonts w:cs="Arial"/>
          <w:sz w:val="22"/>
          <w:szCs w:val="22"/>
        </w:rPr>
        <w:t>career planner</w:t>
      </w:r>
      <w:r w:rsidRPr="003B5FF3">
        <w:rPr>
          <w:rFonts w:cs="Arial"/>
          <w:sz w:val="22"/>
          <w:szCs w:val="22"/>
        </w:rPr>
        <w:t>.</w:t>
      </w:r>
    </w:p>
    <w:p w14:paraId="3EA2FEB0" w14:textId="77777777" w:rsidR="00762172" w:rsidRPr="003B5FF3" w:rsidRDefault="00762172" w:rsidP="00447AC5">
      <w:pPr>
        <w:jc w:val="both"/>
        <w:rPr>
          <w:rFonts w:cs="Arial"/>
          <w:sz w:val="22"/>
          <w:szCs w:val="22"/>
        </w:rPr>
      </w:pPr>
    </w:p>
    <w:p w14:paraId="178C8BB7" w14:textId="77777777" w:rsidR="00762172" w:rsidRPr="003B5FF3" w:rsidRDefault="00762172" w:rsidP="00762172">
      <w:pPr>
        <w:pStyle w:val="ListParagraph"/>
        <w:numPr>
          <w:ilvl w:val="0"/>
          <w:numId w:val="11"/>
        </w:numPr>
        <w:jc w:val="both"/>
        <w:rPr>
          <w:rFonts w:cs="Arial"/>
          <w:sz w:val="22"/>
          <w:szCs w:val="22"/>
        </w:rPr>
      </w:pPr>
      <w:r w:rsidRPr="003B5FF3">
        <w:rPr>
          <w:rFonts w:cs="Arial"/>
          <w:sz w:val="22"/>
          <w:szCs w:val="22"/>
        </w:rPr>
        <w:t>Unless the program under which the participant is eligible has exhausted training funds for the program year, the one-stop center must refer the individual to the selected provider, and establish an ITA for the individual to pay for training.</w:t>
      </w:r>
    </w:p>
    <w:p w14:paraId="2D3BBEAB" w14:textId="77777777" w:rsidR="00762172" w:rsidRPr="003B5FF3" w:rsidRDefault="00762172" w:rsidP="00447AC5">
      <w:pPr>
        <w:jc w:val="both"/>
        <w:rPr>
          <w:rFonts w:cs="Arial"/>
          <w:sz w:val="22"/>
          <w:szCs w:val="22"/>
        </w:rPr>
      </w:pPr>
    </w:p>
    <w:p w14:paraId="26D49252" w14:textId="6A0CB22E" w:rsidR="00762172" w:rsidRPr="003B5FF3" w:rsidRDefault="00762172" w:rsidP="00762172">
      <w:pPr>
        <w:pStyle w:val="ListParagraph"/>
        <w:numPr>
          <w:ilvl w:val="0"/>
          <w:numId w:val="11"/>
        </w:numPr>
        <w:jc w:val="both"/>
        <w:rPr>
          <w:rFonts w:cs="Arial"/>
          <w:sz w:val="22"/>
          <w:szCs w:val="22"/>
        </w:rPr>
      </w:pPr>
      <w:r w:rsidRPr="003B5FF3">
        <w:rPr>
          <w:rFonts w:cs="Arial"/>
          <w:sz w:val="22"/>
          <w:szCs w:val="22"/>
        </w:rPr>
        <w:t>The ITA funds paid to the ETP are paid by the applicable adult, dislocated worker, or out-of</w:t>
      </w:r>
      <w:r w:rsidR="003B5FF3" w:rsidRPr="003B5FF3">
        <w:rPr>
          <w:rFonts w:cs="Arial"/>
          <w:sz w:val="22"/>
          <w:szCs w:val="22"/>
        </w:rPr>
        <w:t>-</w:t>
      </w:r>
      <w:r w:rsidRPr="003B5FF3">
        <w:rPr>
          <w:rFonts w:cs="Arial"/>
          <w:sz w:val="22"/>
          <w:szCs w:val="22"/>
        </w:rPr>
        <w:t>school youth program under Title I of WIOA.</w:t>
      </w:r>
    </w:p>
    <w:p w14:paraId="016AED80" w14:textId="77777777" w:rsidR="00762172" w:rsidRPr="003B5FF3" w:rsidRDefault="00762172" w:rsidP="00447AC5">
      <w:pPr>
        <w:jc w:val="both"/>
        <w:rPr>
          <w:rFonts w:cs="Arial"/>
          <w:sz w:val="22"/>
          <w:szCs w:val="22"/>
        </w:rPr>
      </w:pPr>
    </w:p>
    <w:p w14:paraId="1F1FFB0F" w14:textId="6FC22908" w:rsidR="007D41AB" w:rsidRPr="003B5FF3" w:rsidRDefault="00762172" w:rsidP="00762172">
      <w:pPr>
        <w:pStyle w:val="ListParagraph"/>
        <w:numPr>
          <w:ilvl w:val="0"/>
          <w:numId w:val="11"/>
        </w:numPr>
        <w:jc w:val="both"/>
        <w:rPr>
          <w:rFonts w:cs="Arial"/>
          <w:sz w:val="22"/>
          <w:szCs w:val="22"/>
        </w:rPr>
      </w:pPr>
      <w:r w:rsidRPr="003B5FF3">
        <w:rPr>
          <w:rFonts w:cs="Arial"/>
          <w:sz w:val="22"/>
          <w:szCs w:val="22"/>
        </w:rPr>
        <w:t>The local board, through the one-stop center, may coordinate funding for ITAs with funding from other Federal, state, local, or private job training programs or sources to assist the individual in obtaining training services.</w:t>
      </w:r>
    </w:p>
    <w:p w14:paraId="37BC7F42" w14:textId="77777777" w:rsidR="005D35B9" w:rsidRPr="003B5FF3" w:rsidRDefault="005D35B9" w:rsidP="00447AC5">
      <w:pPr>
        <w:jc w:val="both"/>
        <w:rPr>
          <w:rFonts w:cs="Arial"/>
          <w:sz w:val="22"/>
          <w:szCs w:val="22"/>
        </w:rPr>
      </w:pPr>
    </w:p>
    <w:p w14:paraId="2A76E3B0" w14:textId="77777777" w:rsidR="000C0FF6" w:rsidRPr="003B5FF3" w:rsidRDefault="000C0FF6" w:rsidP="00447AC5">
      <w:pPr>
        <w:jc w:val="both"/>
        <w:rPr>
          <w:rFonts w:cs="Arial"/>
          <w:sz w:val="22"/>
          <w:szCs w:val="22"/>
        </w:rPr>
      </w:pPr>
    </w:p>
    <w:p w14:paraId="5725C7F5" w14:textId="77777777" w:rsidR="009121C1" w:rsidRDefault="009121C1">
      <w:pPr>
        <w:spacing w:after="160" w:line="259" w:lineRule="auto"/>
        <w:rPr>
          <w:rFonts w:eastAsiaTheme="majorEastAsia" w:cs="Arial"/>
          <w:b/>
          <w:color w:val="0070C0"/>
          <w:sz w:val="22"/>
          <w:szCs w:val="22"/>
        </w:rPr>
      </w:pPr>
      <w:r>
        <w:rPr>
          <w:rFonts w:cs="Arial"/>
          <w:b/>
          <w:color w:val="0070C0"/>
          <w:sz w:val="22"/>
          <w:szCs w:val="22"/>
        </w:rPr>
        <w:br w:type="page"/>
      </w:r>
    </w:p>
    <w:p w14:paraId="2E09AF21" w14:textId="196F1FDB" w:rsidR="000C0FF6" w:rsidRPr="009121C1" w:rsidRDefault="000C0FF6" w:rsidP="0042616B">
      <w:pPr>
        <w:pStyle w:val="Heading2"/>
        <w:jc w:val="center"/>
        <w:rPr>
          <w:rFonts w:ascii="Arial" w:hAnsi="Arial" w:cs="Arial"/>
          <w:b/>
          <w:color w:val="0070C0"/>
          <w:sz w:val="22"/>
          <w:szCs w:val="22"/>
        </w:rPr>
      </w:pPr>
      <w:r w:rsidRPr="009121C1">
        <w:rPr>
          <w:rFonts w:ascii="Arial" w:hAnsi="Arial" w:cs="Arial"/>
          <w:b/>
          <w:color w:val="0070C0"/>
          <w:sz w:val="22"/>
          <w:szCs w:val="22"/>
        </w:rPr>
        <w:t>Coordination of Individual Training Accounts with other Grant Assistance</w:t>
      </w:r>
    </w:p>
    <w:p w14:paraId="449056CF" w14:textId="77777777" w:rsidR="000C0FF6" w:rsidRPr="003B5FF3" w:rsidRDefault="000C0FF6" w:rsidP="000C0FF6">
      <w:pPr>
        <w:jc w:val="center"/>
        <w:rPr>
          <w:rFonts w:cs="Arial"/>
          <w:b/>
          <w:sz w:val="22"/>
          <w:szCs w:val="22"/>
        </w:rPr>
      </w:pPr>
    </w:p>
    <w:p w14:paraId="1F20C217" w14:textId="68041F89" w:rsidR="00762172" w:rsidRPr="003B5FF3" w:rsidRDefault="000C0FF6" w:rsidP="000C0FF6">
      <w:pPr>
        <w:jc w:val="both"/>
        <w:rPr>
          <w:rFonts w:cs="Arial"/>
          <w:sz w:val="22"/>
          <w:szCs w:val="22"/>
        </w:rPr>
      </w:pPr>
      <w:r w:rsidRPr="003B5FF3">
        <w:rPr>
          <w:rFonts w:cs="Arial"/>
          <w:sz w:val="22"/>
          <w:szCs w:val="22"/>
        </w:rPr>
        <w:t xml:space="preserve">WIOA requires that training funds be coordinated with other grant sources for training such as the </w:t>
      </w:r>
      <w:r w:rsidR="00762172" w:rsidRPr="003B5FF3">
        <w:rPr>
          <w:rFonts w:cs="Arial"/>
          <w:sz w:val="22"/>
          <w:szCs w:val="22"/>
        </w:rPr>
        <w:t xml:space="preserve">Federal </w:t>
      </w:r>
      <w:r w:rsidRPr="003B5FF3">
        <w:rPr>
          <w:rFonts w:cs="Arial"/>
          <w:sz w:val="22"/>
          <w:szCs w:val="22"/>
        </w:rPr>
        <w:t xml:space="preserve">Pell </w:t>
      </w:r>
      <w:r w:rsidR="00762172" w:rsidRPr="003B5FF3">
        <w:rPr>
          <w:rFonts w:cs="Arial"/>
          <w:sz w:val="22"/>
          <w:szCs w:val="22"/>
        </w:rPr>
        <w:t>G</w:t>
      </w:r>
      <w:r w:rsidRPr="003B5FF3">
        <w:rPr>
          <w:rFonts w:cs="Arial"/>
          <w:sz w:val="22"/>
          <w:szCs w:val="22"/>
        </w:rPr>
        <w:t>rant</w:t>
      </w:r>
      <w:r w:rsidR="00762172" w:rsidRPr="003B5FF3">
        <w:rPr>
          <w:rFonts w:cs="Arial"/>
          <w:sz w:val="22"/>
          <w:szCs w:val="22"/>
        </w:rPr>
        <w:t xml:space="preserve"> Program</w:t>
      </w:r>
      <w:r w:rsidRPr="003B5FF3">
        <w:rPr>
          <w:rFonts w:cs="Arial"/>
          <w:sz w:val="22"/>
          <w:szCs w:val="22"/>
        </w:rPr>
        <w:t>.</w:t>
      </w:r>
      <w:r w:rsidR="00A95FA6" w:rsidRPr="003B5FF3">
        <w:rPr>
          <w:rStyle w:val="FootnoteReference"/>
          <w:rFonts w:cs="Arial"/>
          <w:sz w:val="22"/>
          <w:szCs w:val="22"/>
        </w:rPr>
        <w:footnoteReference w:id="12"/>
      </w:r>
      <w:r w:rsidR="00715B61" w:rsidRPr="003B5FF3">
        <w:rPr>
          <w:rFonts w:cs="Arial"/>
          <w:sz w:val="22"/>
          <w:szCs w:val="22"/>
        </w:rPr>
        <w:t xml:space="preserve"> </w:t>
      </w:r>
    </w:p>
    <w:p w14:paraId="38F4D285" w14:textId="77777777" w:rsidR="00762172" w:rsidRPr="003B5FF3" w:rsidRDefault="00762172" w:rsidP="000C0FF6">
      <w:pPr>
        <w:jc w:val="both"/>
        <w:rPr>
          <w:rFonts w:cs="Arial"/>
          <w:sz w:val="22"/>
          <w:szCs w:val="22"/>
        </w:rPr>
      </w:pPr>
    </w:p>
    <w:p w14:paraId="705F2A86" w14:textId="013AC6B5" w:rsidR="000C0FF6" w:rsidRPr="003B5FF3" w:rsidRDefault="00715B61" w:rsidP="000C0FF6">
      <w:pPr>
        <w:jc w:val="both"/>
        <w:rPr>
          <w:rFonts w:cs="Arial"/>
          <w:sz w:val="22"/>
          <w:szCs w:val="22"/>
        </w:rPr>
      </w:pPr>
      <w:r w:rsidRPr="003B5FF3">
        <w:rPr>
          <w:rFonts w:cs="Arial"/>
          <w:sz w:val="22"/>
          <w:szCs w:val="22"/>
        </w:rPr>
        <w:t xml:space="preserve">Veterans Administration benefits such as the GI Bill are not considered grant assistance for purposes of coordination with </w:t>
      </w:r>
      <w:r w:rsidR="00762172" w:rsidRPr="003B5FF3">
        <w:rPr>
          <w:rFonts w:cs="Arial"/>
          <w:sz w:val="22"/>
          <w:szCs w:val="22"/>
        </w:rPr>
        <w:t>ITAs</w:t>
      </w:r>
      <w:r w:rsidRPr="003B5FF3">
        <w:rPr>
          <w:rFonts w:cs="Arial"/>
          <w:sz w:val="22"/>
          <w:szCs w:val="22"/>
        </w:rPr>
        <w:t>.</w:t>
      </w:r>
      <w:r w:rsidRPr="003B5FF3">
        <w:rPr>
          <w:rStyle w:val="FootnoteReference"/>
          <w:rFonts w:cs="Arial"/>
          <w:sz w:val="22"/>
          <w:szCs w:val="22"/>
        </w:rPr>
        <w:footnoteReference w:id="13"/>
      </w:r>
    </w:p>
    <w:p w14:paraId="0DEF4308" w14:textId="77777777" w:rsidR="000C0FF6" w:rsidRPr="003B5FF3" w:rsidRDefault="000C0FF6" w:rsidP="000C0FF6">
      <w:pPr>
        <w:jc w:val="both"/>
        <w:rPr>
          <w:rFonts w:cs="Arial"/>
          <w:sz w:val="22"/>
          <w:szCs w:val="22"/>
        </w:rPr>
      </w:pPr>
    </w:p>
    <w:p w14:paraId="2EEB3032" w14:textId="03162518" w:rsidR="000C0FF6" w:rsidRPr="003B5FF3" w:rsidRDefault="000C0FF6" w:rsidP="000C0FF6">
      <w:pPr>
        <w:jc w:val="both"/>
        <w:rPr>
          <w:rFonts w:cs="Arial"/>
          <w:sz w:val="22"/>
          <w:szCs w:val="22"/>
        </w:rPr>
      </w:pPr>
      <w:r w:rsidRPr="003B5FF3">
        <w:rPr>
          <w:rFonts w:cs="Arial"/>
          <w:sz w:val="22"/>
          <w:szCs w:val="22"/>
        </w:rPr>
        <w:t xml:space="preserve">WIOA limits funding for training to </w:t>
      </w:r>
      <w:r w:rsidR="00762172" w:rsidRPr="003B5FF3">
        <w:rPr>
          <w:rFonts w:cs="Arial"/>
          <w:sz w:val="22"/>
          <w:szCs w:val="22"/>
        </w:rPr>
        <w:t>individuals</w:t>
      </w:r>
      <w:r w:rsidR="007F7CCD" w:rsidRPr="003B5FF3">
        <w:rPr>
          <w:rFonts w:cs="Arial"/>
          <w:sz w:val="22"/>
          <w:szCs w:val="22"/>
        </w:rPr>
        <w:t xml:space="preserve"> </w:t>
      </w:r>
      <w:r w:rsidRPr="003B5FF3">
        <w:rPr>
          <w:rFonts w:cs="Arial"/>
          <w:sz w:val="22"/>
          <w:szCs w:val="22"/>
        </w:rPr>
        <w:t>who:</w:t>
      </w:r>
    </w:p>
    <w:p w14:paraId="1B12E29C" w14:textId="77777777" w:rsidR="00762172" w:rsidRPr="003B5FF3" w:rsidRDefault="00762172" w:rsidP="000C0FF6">
      <w:pPr>
        <w:jc w:val="both"/>
        <w:rPr>
          <w:rFonts w:cs="Arial"/>
          <w:sz w:val="22"/>
          <w:szCs w:val="22"/>
        </w:rPr>
      </w:pPr>
    </w:p>
    <w:p w14:paraId="0FA4C10A" w14:textId="648C0EDF" w:rsidR="000C0FF6" w:rsidRPr="003B5FF3" w:rsidRDefault="00762172" w:rsidP="00762172">
      <w:pPr>
        <w:pStyle w:val="ListParagraph"/>
        <w:numPr>
          <w:ilvl w:val="0"/>
          <w:numId w:val="12"/>
        </w:numPr>
        <w:jc w:val="both"/>
        <w:rPr>
          <w:rFonts w:cs="Arial"/>
          <w:sz w:val="22"/>
          <w:szCs w:val="22"/>
        </w:rPr>
      </w:pPr>
      <w:r w:rsidRPr="003B5FF3">
        <w:rPr>
          <w:rFonts w:cs="Arial"/>
          <w:sz w:val="22"/>
          <w:szCs w:val="22"/>
        </w:rPr>
        <w:t xml:space="preserve">are </w:t>
      </w:r>
      <w:r w:rsidR="007F7CCD" w:rsidRPr="003B5FF3">
        <w:rPr>
          <w:rFonts w:cs="Arial"/>
          <w:sz w:val="22"/>
          <w:szCs w:val="22"/>
        </w:rPr>
        <w:t>u</w:t>
      </w:r>
      <w:r w:rsidR="000C0FF6" w:rsidRPr="003B5FF3">
        <w:rPr>
          <w:rFonts w:cs="Arial"/>
          <w:sz w:val="22"/>
          <w:szCs w:val="22"/>
        </w:rPr>
        <w:t>nable to obtain grant assistance from other sources to pay for the cost of their training; or</w:t>
      </w:r>
    </w:p>
    <w:p w14:paraId="1B953F4D" w14:textId="77777777" w:rsidR="00762172" w:rsidRPr="003B5FF3" w:rsidRDefault="00762172" w:rsidP="00762172">
      <w:pPr>
        <w:pStyle w:val="ListParagraph"/>
        <w:jc w:val="both"/>
        <w:rPr>
          <w:rFonts w:cs="Arial"/>
          <w:sz w:val="22"/>
          <w:szCs w:val="22"/>
        </w:rPr>
      </w:pPr>
    </w:p>
    <w:p w14:paraId="158F95A9" w14:textId="77777777" w:rsidR="00762172" w:rsidRPr="003B5FF3" w:rsidRDefault="00762172" w:rsidP="00762172">
      <w:pPr>
        <w:pStyle w:val="ListParagraph"/>
        <w:numPr>
          <w:ilvl w:val="0"/>
          <w:numId w:val="12"/>
        </w:numPr>
        <w:jc w:val="both"/>
        <w:rPr>
          <w:rFonts w:cs="Arial"/>
          <w:i/>
          <w:sz w:val="22"/>
          <w:szCs w:val="22"/>
        </w:rPr>
      </w:pPr>
      <w:r w:rsidRPr="003B5FF3">
        <w:rPr>
          <w:rFonts w:cs="Arial"/>
          <w:sz w:val="22"/>
          <w:szCs w:val="22"/>
        </w:rPr>
        <w:t xml:space="preserve">require </w:t>
      </w:r>
      <w:r w:rsidR="000C0FF6" w:rsidRPr="003B5FF3">
        <w:rPr>
          <w:rFonts w:cs="Arial"/>
          <w:sz w:val="22"/>
          <w:szCs w:val="22"/>
        </w:rPr>
        <w:t xml:space="preserve">assistance beyond </w:t>
      </w:r>
      <w:r w:rsidR="002B1E4E" w:rsidRPr="003B5FF3">
        <w:rPr>
          <w:rFonts w:cs="Arial"/>
          <w:sz w:val="22"/>
          <w:szCs w:val="22"/>
        </w:rPr>
        <w:t>what</w:t>
      </w:r>
      <w:r w:rsidRPr="003B5FF3">
        <w:rPr>
          <w:rFonts w:cs="Arial"/>
          <w:sz w:val="22"/>
          <w:szCs w:val="22"/>
        </w:rPr>
        <w:t xml:space="preserve"> i</w:t>
      </w:r>
      <w:r w:rsidR="002B1E4E" w:rsidRPr="003B5FF3">
        <w:rPr>
          <w:rFonts w:cs="Arial"/>
          <w:sz w:val="22"/>
          <w:szCs w:val="22"/>
        </w:rPr>
        <w:t xml:space="preserve">s </w:t>
      </w:r>
      <w:r w:rsidR="000C0FF6" w:rsidRPr="003B5FF3">
        <w:rPr>
          <w:rFonts w:cs="Arial"/>
          <w:sz w:val="22"/>
          <w:szCs w:val="22"/>
        </w:rPr>
        <w:t>available under grant assistance from other sources to pay the costs of such training.</w:t>
      </w:r>
      <w:r w:rsidR="006D58DB" w:rsidRPr="003B5FF3">
        <w:rPr>
          <w:rStyle w:val="FootnoteReference"/>
          <w:rFonts w:cs="Arial"/>
          <w:sz w:val="22"/>
          <w:szCs w:val="22"/>
        </w:rPr>
        <w:footnoteReference w:id="14"/>
      </w:r>
      <w:r w:rsidR="00D074F8" w:rsidRPr="003B5FF3">
        <w:rPr>
          <w:rFonts w:cs="Arial"/>
          <w:sz w:val="22"/>
          <w:szCs w:val="22"/>
        </w:rPr>
        <w:t xml:space="preserve"> </w:t>
      </w:r>
    </w:p>
    <w:p w14:paraId="38E9CD4D" w14:textId="77777777" w:rsidR="00762172" w:rsidRPr="003B5FF3" w:rsidRDefault="00762172" w:rsidP="00762172">
      <w:pPr>
        <w:pStyle w:val="ListParagraph"/>
        <w:rPr>
          <w:rFonts w:cs="Arial"/>
          <w:sz w:val="22"/>
          <w:szCs w:val="22"/>
        </w:rPr>
      </w:pPr>
    </w:p>
    <w:p w14:paraId="3E8E4C10" w14:textId="783C38FF" w:rsidR="000C0FF6" w:rsidRPr="003B5FF3" w:rsidRDefault="00D074F8" w:rsidP="00762172">
      <w:pPr>
        <w:pStyle w:val="ListParagraph"/>
        <w:numPr>
          <w:ilvl w:val="0"/>
          <w:numId w:val="14"/>
        </w:numPr>
        <w:jc w:val="both"/>
        <w:rPr>
          <w:rFonts w:cs="Arial"/>
          <w:sz w:val="22"/>
          <w:szCs w:val="22"/>
        </w:rPr>
      </w:pPr>
      <w:r w:rsidRPr="003B5FF3">
        <w:rPr>
          <w:rFonts w:cs="Arial"/>
          <w:sz w:val="22"/>
          <w:szCs w:val="22"/>
        </w:rPr>
        <w:t xml:space="preserve">In determining whether an individual requires such </w:t>
      </w:r>
      <w:r w:rsidR="00762172" w:rsidRPr="003B5FF3">
        <w:rPr>
          <w:rFonts w:cs="Arial"/>
          <w:sz w:val="22"/>
          <w:szCs w:val="22"/>
        </w:rPr>
        <w:t>assistance, a one-stop center (or one-stop partner, where app</w:t>
      </w:r>
      <w:r w:rsidRPr="003B5FF3">
        <w:rPr>
          <w:rFonts w:cs="Arial"/>
          <w:sz w:val="22"/>
          <w:szCs w:val="22"/>
        </w:rPr>
        <w:t xml:space="preserve">ropriate) may </w:t>
      </w:r>
      <w:r w:rsidR="002B1E4E" w:rsidRPr="003B5FF3">
        <w:rPr>
          <w:rFonts w:cs="Arial"/>
          <w:sz w:val="22"/>
          <w:szCs w:val="22"/>
        </w:rPr>
        <w:t>consider</w:t>
      </w:r>
      <w:r w:rsidRPr="003B5FF3">
        <w:rPr>
          <w:rFonts w:cs="Arial"/>
          <w:sz w:val="22"/>
          <w:szCs w:val="22"/>
        </w:rPr>
        <w:t xml:space="preserve"> the full cost of participating in training services, including the costs of dependent care and transportation, and other appropriate costs.</w:t>
      </w:r>
    </w:p>
    <w:p w14:paraId="7408DAD3" w14:textId="77777777" w:rsidR="000C0FF6" w:rsidRPr="003B5FF3" w:rsidRDefault="000C0FF6" w:rsidP="000C0FF6">
      <w:pPr>
        <w:jc w:val="both"/>
        <w:rPr>
          <w:rFonts w:cs="Arial"/>
          <w:i/>
          <w:sz w:val="22"/>
          <w:szCs w:val="22"/>
        </w:rPr>
      </w:pPr>
    </w:p>
    <w:p w14:paraId="12BFC8C4" w14:textId="245967F6" w:rsidR="000C0FF6" w:rsidRPr="003B5FF3" w:rsidRDefault="00EF35B6" w:rsidP="000C0FF6">
      <w:pPr>
        <w:jc w:val="both"/>
        <w:rPr>
          <w:rFonts w:cs="Arial"/>
          <w:sz w:val="22"/>
          <w:szCs w:val="22"/>
        </w:rPr>
      </w:pPr>
      <w:r w:rsidRPr="003B5FF3">
        <w:rPr>
          <w:rFonts w:cs="Arial"/>
          <w:sz w:val="22"/>
          <w:szCs w:val="22"/>
        </w:rPr>
        <w:t xml:space="preserve">One-stop centers </w:t>
      </w:r>
      <w:r w:rsidR="000C0FF6" w:rsidRPr="003B5FF3">
        <w:rPr>
          <w:rFonts w:cs="Arial"/>
          <w:sz w:val="22"/>
          <w:szCs w:val="22"/>
        </w:rPr>
        <w:t>must consider the availability of other sources of training grants</w:t>
      </w:r>
      <w:r w:rsidRPr="003B5FF3">
        <w:rPr>
          <w:rFonts w:cs="Arial"/>
          <w:sz w:val="22"/>
          <w:szCs w:val="22"/>
        </w:rPr>
        <w:t xml:space="preserve"> such as Temporary Assistance for Needy Families (TANF), state-funded training funds, Federal Pell Grants so that WIOA funds supplement other sources of training grants</w:t>
      </w:r>
      <w:r w:rsidR="000C0FF6" w:rsidRPr="003B5FF3">
        <w:rPr>
          <w:rFonts w:cs="Arial"/>
          <w:sz w:val="22"/>
          <w:szCs w:val="22"/>
        </w:rPr>
        <w:t>.</w:t>
      </w:r>
      <w:r w:rsidR="00A5049C" w:rsidRPr="003B5FF3">
        <w:rPr>
          <w:rStyle w:val="FootnoteReference"/>
          <w:rFonts w:cs="Arial"/>
          <w:sz w:val="22"/>
          <w:szCs w:val="22"/>
        </w:rPr>
        <w:footnoteReference w:id="15"/>
      </w:r>
      <w:r w:rsidR="000C0FF6" w:rsidRPr="003B5FF3">
        <w:rPr>
          <w:rFonts w:cs="Arial"/>
          <w:sz w:val="22"/>
          <w:szCs w:val="22"/>
        </w:rPr>
        <w:t xml:space="preserve"> </w:t>
      </w:r>
      <w:r w:rsidRPr="003B5FF3">
        <w:rPr>
          <w:rFonts w:cs="Arial"/>
          <w:sz w:val="22"/>
          <w:szCs w:val="22"/>
        </w:rPr>
        <w:t xml:space="preserve"> </w:t>
      </w:r>
      <w:r w:rsidR="000C0FF6" w:rsidRPr="003B5FF3">
        <w:rPr>
          <w:rFonts w:cs="Arial"/>
          <w:sz w:val="22"/>
          <w:szCs w:val="22"/>
        </w:rPr>
        <w:t>Program operators and training providers must coordinate available funds to pa</w:t>
      </w:r>
      <w:r w:rsidR="00DD2D26" w:rsidRPr="003B5FF3">
        <w:rPr>
          <w:rFonts w:cs="Arial"/>
          <w:sz w:val="22"/>
          <w:szCs w:val="22"/>
        </w:rPr>
        <w:t>y</w:t>
      </w:r>
      <w:r w:rsidR="000C0FF6" w:rsidRPr="003B5FF3">
        <w:rPr>
          <w:rFonts w:cs="Arial"/>
          <w:sz w:val="22"/>
          <w:szCs w:val="22"/>
        </w:rPr>
        <w:t xml:space="preserve"> for training and prevent duplication of payments.</w:t>
      </w:r>
    </w:p>
    <w:p w14:paraId="6285C145" w14:textId="77777777" w:rsidR="000C0FF6" w:rsidRPr="003B5FF3" w:rsidRDefault="000C0FF6" w:rsidP="000C0FF6">
      <w:pPr>
        <w:jc w:val="both"/>
        <w:rPr>
          <w:rFonts w:cs="Arial"/>
          <w:sz w:val="22"/>
          <w:szCs w:val="22"/>
        </w:rPr>
      </w:pPr>
    </w:p>
    <w:p w14:paraId="40546B81" w14:textId="77777777" w:rsidR="000C0FF6" w:rsidRPr="003B5FF3" w:rsidRDefault="000C0FF6" w:rsidP="000C0FF6">
      <w:pPr>
        <w:jc w:val="both"/>
        <w:rPr>
          <w:rFonts w:cs="Arial"/>
          <w:sz w:val="22"/>
          <w:szCs w:val="22"/>
        </w:rPr>
      </w:pPr>
      <w:r w:rsidRPr="003B5FF3">
        <w:rPr>
          <w:rFonts w:cs="Arial"/>
          <w:sz w:val="22"/>
          <w:szCs w:val="22"/>
        </w:rPr>
        <w:t xml:space="preserve">The exact mix of funds should be determined based on the availability of funding for either training costs or supportive services, </w:t>
      </w:r>
      <w:r w:rsidR="00644A7C" w:rsidRPr="003B5FF3">
        <w:rPr>
          <w:rFonts w:cs="Arial"/>
          <w:sz w:val="22"/>
          <w:szCs w:val="22"/>
        </w:rPr>
        <w:t>with the goal of ensuring that the costs of the training program the participant selects are fully paid and that necessary supportive services are available so that the training can be completed successfully. This determination should focus on the needs of the participant and satisfy the following three conditions:</w:t>
      </w:r>
    </w:p>
    <w:p w14:paraId="01ACFBE0" w14:textId="77777777" w:rsidR="00644A7C" w:rsidRPr="003B5FF3" w:rsidRDefault="00644A7C" w:rsidP="000C0FF6">
      <w:pPr>
        <w:jc w:val="both"/>
        <w:rPr>
          <w:rFonts w:cs="Arial"/>
          <w:sz w:val="22"/>
          <w:szCs w:val="22"/>
        </w:rPr>
      </w:pPr>
    </w:p>
    <w:p w14:paraId="644762D7" w14:textId="77777777" w:rsidR="00644A7C" w:rsidRPr="003B5FF3" w:rsidRDefault="00644A7C" w:rsidP="00644A7C">
      <w:pPr>
        <w:pStyle w:val="ListParagraph"/>
        <w:numPr>
          <w:ilvl w:val="0"/>
          <w:numId w:val="5"/>
        </w:numPr>
        <w:jc w:val="both"/>
        <w:rPr>
          <w:rFonts w:cs="Arial"/>
          <w:sz w:val="22"/>
          <w:szCs w:val="22"/>
        </w:rPr>
      </w:pPr>
      <w:r w:rsidRPr="003B5FF3">
        <w:rPr>
          <w:rFonts w:cs="Arial"/>
          <w:sz w:val="22"/>
          <w:szCs w:val="22"/>
        </w:rPr>
        <w:t>WIOA funds for training services are limited to instances when there is inadequate or no grant assistance from other sources;</w:t>
      </w:r>
    </w:p>
    <w:p w14:paraId="21A7C13B" w14:textId="77777777" w:rsidR="00644A7C" w:rsidRPr="003B5FF3" w:rsidRDefault="00644A7C" w:rsidP="00644A7C">
      <w:pPr>
        <w:pStyle w:val="ListParagraph"/>
        <w:jc w:val="both"/>
        <w:rPr>
          <w:rFonts w:cs="Arial"/>
          <w:sz w:val="22"/>
          <w:szCs w:val="22"/>
        </w:rPr>
      </w:pPr>
    </w:p>
    <w:p w14:paraId="3BACA6DC" w14:textId="32D8A5A1" w:rsidR="00644A7C" w:rsidRPr="003B5FF3" w:rsidRDefault="00EF35B6" w:rsidP="00644A7C">
      <w:pPr>
        <w:pStyle w:val="ListParagraph"/>
        <w:numPr>
          <w:ilvl w:val="0"/>
          <w:numId w:val="5"/>
        </w:numPr>
        <w:jc w:val="both"/>
        <w:rPr>
          <w:rFonts w:cs="Arial"/>
          <w:sz w:val="22"/>
          <w:szCs w:val="22"/>
        </w:rPr>
      </w:pPr>
      <w:r w:rsidRPr="003B5FF3">
        <w:rPr>
          <w:rFonts w:cs="Arial"/>
          <w:sz w:val="22"/>
          <w:szCs w:val="22"/>
        </w:rPr>
        <w:t>duplicate payments of costs when an individual is eligible for both WIOA and other assista</w:t>
      </w:r>
      <w:r w:rsidR="00644A7C" w:rsidRPr="003B5FF3">
        <w:rPr>
          <w:rFonts w:cs="Arial"/>
          <w:sz w:val="22"/>
          <w:szCs w:val="22"/>
        </w:rPr>
        <w:t xml:space="preserve">nce including Pell Grants must be avoided; and </w:t>
      </w:r>
    </w:p>
    <w:p w14:paraId="698A2920" w14:textId="77777777" w:rsidR="00644A7C" w:rsidRPr="003B5FF3" w:rsidRDefault="00644A7C" w:rsidP="00644A7C">
      <w:pPr>
        <w:pStyle w:val="ListParagraph"/>
        <w:rPr>
          <w:rFonts w:cs="Arial"/>
          <w:sz w:val="22"/>
          <w:szCs w:val="22"/>
        </w:rPr>
      </w:pPr>
    </w:p>
    <w:p w14:paraId="086A405C" w14:textId="3C56DD77" w:rsidR="00EF35B6" w:rsidRPr="003B5FF3" w:rsidRDefault="00EF35B6" w:rsidP="00644A7C">
      <w:pPr>
        <w:pStyle w:val="ListParagraph"/>
        <w:numPr>
          <w:ilvl w:val="0"/>
          <w:numId w:val="5"/>
        </w:numPr>
        <w:jc w:val="both"/>
        <w:rPr>
          <w:rFonts w:cs="Arial"/>
          <w:sz w:val="22"/>
          <w:szCs w:val="22"/>
        </w:rPr>
      </w:pPr>
      <w:r w:rsidRPr="003B5FF3">
        <w:rPr>
          <w:rFonts w:cs="Arial"/>
          <w:sz w:val="22"/>
          <w:szCs w:val="22"/>
        </w:rPr>
        <w:t xml:space="preserve">participation in a training program funded under WIOA may not be conditioned on applying for or using a loan to help finance training costs. </w:t>
      </w:r>
    </w:p>
    <w:p w14:paraId="309A6171" w14:textId="77777777" w:rsidR="00EF35B6" w:rsidRPr="003B5FF3" w:rsidRDefault="00EF35B6" w:rsidP="00EF35B6">
      <w:pPr>
        <w:pStyle w:val="ListParagraph"/>
        <w:rPr>
          <w:rFonts w:cs="Arial"/>
          <w:sz w:val="22"/>
          <w:szCs w:val="22"/>
        </w:rPr>
      </w:pPr>
    </w:p>
    <w:p w14:paraId="5A103599" w14:textId="3C60D86B" w:rsidR="00EF35B6" w:rsidRPr="003B5FF3" w:rsidRDefault="00EF35B6" w:rsidP="00EF35B6">
      <w:pPr>
        <w:jc w:val="both"/>
        <w:rPr>
          <w:rFonts w:cs="Arial"/>
          <w:sz w:val="22"/>
          <w:szCs w:val="22"/>
        </w:rPr>
      </w:pPr>
      <w:r w:rsidRPr="003B5FF3">
        <w:rPr>
          <w:rFonts w:cs="Arial"/>
          <w:sz w:val="22"/>
          <w:szCs w:val="22"/>
        </w:rPr>
        <w:t xml:space="preserve">One-stop centers </w:t>
      </w:r>
      <w:r w:rsidR="00644A7C" w:rsidRPr="003B5FF3">
        <w:rPr>
          <w:rFonts w:cs="Arial"/>
          <w:sz w:val="22"/>
          <w:szCs w:val="22"/>
        </w:rPr>
        <w:t xml:space="preserve">and training providers must coordinate by entering into arrangements with the entities administering the alternate source of funds, including eligible providers administering Pell Grants. These entities should consider all available sources of funds, excluding loans, in determining an individual’s overall need for WIOA funds. The WIOA </w:t>
      </w:r>
      <w:r w:rsidRPr="003B5FF3">
        <w:rPr>
          <w:rFonts w:cs="Arial"/>
          <w:sz w:val="22"/>
          <w:szCs w:val="22"/>
        </w:rPr>
        <w:t xml:space="preserve">career planner </w:t>
      </w:r>
      <w:r w:rsidR="00644A7C" w:rsidRPr="003B5FF3">
        <w:rPr>
          <w:rFonts w:cs="Arial"/>
          <w:sz w:val="22"/>
          <w:szCs w:val="22"/>
        </w:rPr>
        <w:t>must work with the WIOA participant to calculate the total funding resources available as well as to assess the full “education and education related costs” (training and supportive services costs) if the participant is to complete the chosen program with WIOA funds while an application for Pell Grant funds is pending.</w:t>
      </w:r>
      <w:r w:rsidR="00006C30" w:rsidRPr="003B5FF3">
        <w:rPr>
          <w:rFonts w:cs="Arial"/>
          <w:sz w:val="22"/>
          <w:szCs w:val="22"/>
        </w:rPr>
        <w:t xml:space="preserve"> </w:t>
      </w:r>
    </w:p>
    <w:p w14:paraId="03D0B740" w14:textId="77777777" w:rsidR="00EF35B6" w:rsidRPr="003B5FF3" w:rsidRDefault="00EF35B6" w:rsidP="00EF35B6">
      <w:pPr>
        <w:jc w:val="both"/>
        <w:rPr>
          <w:rFonts w:cs="Arial"/>
          <w:sz w:val="22"/>
          <w:szCs w:val="22"/>
        </w:rPr>
      </w:pPr>
    </w:p>
    <w:p w14:paraId="1EE70061" w14:textId="77777777" w:rsidR="0042616B" w:rsidRPr="003B5FF3" w:rsidRDefault="00EF35B6" w:rsidP="00EF35B6">
      <w:pPr>
        <w:jc w:val="both"/>
        <w:rPr>
          <w:rFonts w:cs="Arial"/>
          <w:sz w:val="22"/>
          <w:szCs w:val="22"/>
        </w:rPr>
      </w:pPr>
      <w:r w:rsidRPr="003B5FF3">
        <w:rPr>
          <w:rFonts w:cs="Arial"/>
          <w:sz w:val="22"/>
          <w:szCs w:val="22"/>
        </w:rPr>
        <w:t xml:space="preserve">WIOA </w:t>
      </w:r>
      <w:r w:rsidR="003A3471" w:rsidRPr="003B5FF3">
        <w:rPr>
          <w:rFonts w:cs="Arial"/>
          <w:sz w:val="22"/>
          <w:szCs w:val="22"/>
        </w:rPr>
        <w:t>permits a WIOA participant to enroll in a training program with WIOA funds while an application for Pell Grant funds is pending.</w:t>
      </w:r>
      <w:r w:rsidRPr="003B5FF3">
        <w:rPr>
          <w:rStyle w:val="FootnoteReference"/>
          <w:rFonts w:cs="Arial"/>
          <w:sz w:val="22"/>
          <w:szCs w:val="22"/>
        </w:rPr>
        <w:footnoteReference w:id="16"/>
      </w:r>
      <w:r w:rsidR="003A3471" w:rsidRPr="003B5FF3">
        <w:rPr>
          <w:rFonts w:cs="Arial"/>
          <w:sz w:val="22"/>
          <w:szCs w:val="22"/>
        </w:rPr>
        <w:t xml:space="preserve"> </w:t>
      </w:r>
      <w:r w:rsidRPr="003B5FF3">
        <w:rPr>
          <w:rFonts w:cs="Arial"/>
          <w:sz w:val="22"/>
          <w:szCs w:val="22"/>
        </w:rPr>
        <w:t xml:space="preserve"> </w:t>
      </w:r>
      <w:r w:rsidR="003A3471" w:rsidRPr="003B5FF3">
        <w:rPr>
          <w:rFonts w:cs="Arial"/>
          <w:sz w:val="22"/>
          <w:szCs w:val="22"/>
        </w:rPr>
        <w:t xml:space="preserve">However, the one-stop operator must be reimbursed if both funding sources end up paying the same costs for the same </w:t>
      </w:r>
      <w:r w:rsidRPr="003B5FF3">
        <w:rPr>
          <w:rFonts w:cs="Arial"/>
          <w:sz w:val="22"/>
          <w:szCs w:val="22"/>
        </w:rPr>
        <w:t>WIOA participant</w:t>
      </w:r>
      <w:r w:rsidR="003A3471" w:rsidRPr="003B5FF3">
        <w:rPr>
          <w:rFonts w:cs="Arial"/>
          <w:sz w:val="22"/>
          <w:szCs w:val="22"/>
        </w:rPr>
        <w:t xml:space="preserve">. </w:t>
      </w:r>
      <w:r w:rsidRPr="003B5FF3">
        <w:rPr>
          <w:rFonts w:cs="Arial"/>
          <w:sz w:val="22"/>
          <w:szCs w:val="22"/>
        </w:rPr>
        <w:t xml:space="preserve"> </w:t>
      </w:r>
      <w:r w:rsidR="003A3471" w:rsidRPr="003B5FF3">
        <w:rPr>
          <w:rFonts w:cs="Arial"/>
          <w:sz w:val="22"/>
          <w:szCs w:val="22"/>
        </w:rPr>
        <w:t>When the agreements negotiated are performance-based contracts, one-stop centers must prohibit training institutions or organizations from holding the student liable for outstanding charges. Otherwise, the performance agreements would be undercut because the incentive for the institution or organization to perform would be removed.</w:t>
      </w:r>
    </w:p>
    <w:p w14:paraId="14036A49" w14:textId="77777777" w:rsidR="0042616B" w:rsidRPr="003B5FF3" w:rsidRDefault="0042616B" w:rsidP="00EF35B6">
      <w:pPr>
        <w:jc w:val="both"/>
        <w:rPr>
          <w:rFonts w:cs="Arial"/>
          <w:sz w:val="22"/>
          <w:szCs w:val="22"/>
        </w:rPr>
      </w:pPr>
    </w:p>
    <w:p w14:paraId="74589D58" w14:textId="6A5B43C8" w:rsidR="00644A7C" w:rsidRDefault="0042616B" w:rsidP="00EF35B6">
      <w:pPr>
        <w:jc w:val="both"/>
        <w:rPr>
          <w:rFonts w:cs="Arial"/>
          <w:sz w:val="22"/>
          <w:szCs w:val="22"/>
        </w:rPr>
      </w:pPr>
      <w:r w:rsidRPr="003B5FF3">
        <w:rPr>
          <w:rFonts w:cs="Arial"/>
          <w:sz w:val="22"/>
          <w:szCs w:val="22"/>
        </w:rPr>
        <w:t>Refer to the section of this policy titled “Local Area ITA Policy Requirements” for information on the requirements relating to coordination of individual training accounts with other grant assistance and local area plans and policies.</w:t>
      </w:r>
    </w:p>
    <w:p w14:paraId="5F74F312" w14:textId="77777777" w:rsidR="009121C1" w:rsidRPr="003B5FF3" w:rsidRDefault="009121C1" w:rsidP="00EF35B6">
      <w:pPr>
        <w:jc w:val="both"/>
        <w:rPr>
          <w:rFonts w:cs="Arial"/>
          <w:sz w:val="22"/>
          <w:szCs w:val="22"/>
        </w:rPr>
      </w:pPr>
    </w:p>
    <w:p w14:paraId="60F25901" w14:textId="77777777" w:rsidR="00E12464" w:rsidRPr="003B5FF3" w:rsidRDefault="00E12464" w:rsidP="009121C1">
      <w:pPr>
        <w:rPr>
          <w:rFonts w:cs="Arial"/>
          <w:b/>
          <w:sz w:val="22"/>
          <w:szCs w:val="22"/>
        </w:rPr>
      </w:pPr>
    </w:p>
    <w:p w14:paraId="4C4D549A" w14:textId="2CCDC08A" w:rsidR="00E12464" w:rsidRPr="003B5FF3" w:rsidRDefault="003B5FF3" w:rsidP="005C5351">
      <w:pPr>
        <w:pStyle w:val="Heading1"/>
        <w:spacing w:before="0"/>
        <w:rPr>
          <w:rFonts w:ascii="Arial" w:hAnsi="Arial" w:cs="Arial"/>
          <w:b/>
          <w:color w:val="0070C0"/>
          <w:sz w:val="22"/>
          <w:szCs w:val="22"/>
        </w:rPr>
      </w:pPr>
      <w:r w:rsidRPr="003B5FF3">
        <w:rPr>
          <w:rFonts w:ascii="Arial" w:hAnsi="Arial" w:cs="Arial"/>
          <w:b/>
          <w:color w:val="0070C0"/>
          <w:sz w:val="22"/>
          <w:szCs w:val="22"/>
        </w:rPr>
        <w:t>DISCLAIMER</w:t>
      </w:r>
    </w:p>
    <w:p w14:paraId="0E678B61" w14:textId="77777777" w:rsidR="00C613F4" w:rsidRPr="003B5FF3" w:rsidRDefault="00C613F4" w:rsidP="0042616B">
      <w:pPr>
        <w:jc w:val="both"/>
        <w:rPr>
          <w:rFonts w:cs="Arial"/>
          <w:sz w:val="22"/>
          <w:szCs w:val="22"/>
        </w:rPr>
      </w:pPr>
    </w:p>
    <w:p w14:paraId="7F04165E" w14:textId="268D1B93" w:rsidR="001F44E5" w:rsidRPr="003B5FF3" w:rsidRDefault="00E12464" w:rsidP="0042616B">
      <w:pPr>
        <w:jc w:val="both"/>
        <w:rPr>
          <w:rFonts w:cs="Arial"/>
          <w:sz w:val="22"/>
          <w:szCs w:val="22"/>
        </w:rPr>
      </w:pPr>
      <w:r w:rsidRPr="003B5FF3">
        <w:rPr>
          <w:rFonts w:cs="Arial"/>
          <w:sz w:val="22"/>
          <w:szCs w:val="22"/>
        </w:rPr>
        <w:t>This policy is based on NDOL’s reading of the</w:t>
      </w:r>
      <w:r w:rsidR="0042616B" w:rsidRPr="003B5FF3">
        <w:rPr>
          <w:rFonts w:cs="Arial"/>
          <w:sz w:val="22"/>
          <w:szCs w:val="22"/>
        </w:rPr>
        <w:t xml:space="preserve"> applicable statutes, regulations, rules and guidance released by the U.S. Government and the State of Nebraska.  This policy is subject to change as revised or additional statutes, regulations, rules and guidance are issued</w:t>
      </w:r>
      <w:r w:rsidRPr="003B5FF3">
        <w:rPr>
          <w:rFonts w:cs="Arial"/>
          <w:sz w:val="22"/>
          <w:szCs w:val="22"/>
        </w:rPr>
        <w:t>.</w:t>
      </w:r>
      <w:r w:rsidR="006F3F3C" w:rsidRPr="003B5FF3">
        <w:rPr>
          <w:rFonts w:cs="Arial"/>
          <w:sz w:val="22"/>
          <w:szCs w:val="22"/>
        </w:rPr>
        <w:t xml:space="preserve"> </w:t>
      </w:r>
    </w:p>
    <w:sectPr w:rsidR="001F44E5" w:rsidRPr="003B5FF3" w:rsidSect="005C535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9AC92" w14:textId="77777777" w:rsidR="0042616B" w:rsidRDefault="0042616B" w:rsidP="00E12464">
      <w:r>
        <w:separator/>
      </w:r>
    </w:p>
  </w:endnote>
  <w:endnote w:type="continuationSeparator" w:id="0">
    <w:p w14:paraId="6B599CBB" w14:textId="77777777" w:rsidR="0042616B" w:rsidRDefault="0042616B" w:rsidP="00E1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4B925" w14:textId="198857BB" w:rsidR="0042616B" w:rsidRPr="00D07FED" w:rsidRDefault="00D07FED">
    <w:pPr>
      <w:pStyle w:val="Footer"/>
      <w:rPr>
        <w:sz w:val="20"/>
      </w:rPr>
    </w:pPr>
    <w:r w:rsidRPr="00D07FED">
      <w:rPr>
        <w:bCs/>
        <w:sz w:val="20"/>
        <w:szCs w:val="24"/>
      </w:rPr>
      <w:t>Rev. 08/</w:t>
    </w:r>
    <w:r w:rsidR="00740D68">
      <w:rPr>
        <w:bCs/>
        <w:sz w:val="20"/>
        <w:szCs w:val="24"/>
      </w:rPr>
      <w:t>2</w:t>
    </w:r>
    <w:r w:rsidRPr="00D07FED">
      <w:rPr>
        <w:bCs/>
        <w:sz w:val="20"/>
        <w:szCs w:val="24"/>
      </w:rPr>
      <w:t>6/2016</w:t>
    </w:r>
    <w:r w:rsidRPr="00D07FED">
      <w:rPr>
        <w:bCs/>
        <w:sz w:val="20"/>
        <w:szCs w:val="24"/>
      </w:rPr>
      <w:tab/>
    </w:r>
    <w:r w:rsidRPr="00D07FED">
      <w:rPr>
        <w:bCs/>
        <w:sz w:val="20"/>
        <w:szCs w:val="24"/>
      </w:rPr>
      <w:tab/>
    </w:r>
    <w:r w:rsidRPr="00D07FED">
      <w:rPr>
        <w:bCs/>
        <w:sz w:val="20"/>
        <w:szCs w:val="24"/>
      </w:rPr>
      <w:fldChar w:fldCharType="begin"/>
    </w:r>
    <w:r w:rsidRPr="00D07FED">
      <w:rPr>
        <w:bCs/>
        <w:sz w:val="20"/>
        <w:szCs w:val="24"/>
      </w:rPr>
      <w:instrText xml:space="preserve"> PAGE   \* MERGEFORMAT </w:instrText>
    </w:r>
    <w:r w:rsidRPr="00D07FED">
      <w:rPr>
        <w:bCs/>
        <w:sz w:val="20"/>
        <w:szCs w:val="24"/>
      </w:rPr>
      <w:fldChar w:fldCharType="separate"/>
    </w:r>
    <w:r w:rsidR="002D69F4">
      <w:rPr>
        <w:bCs/>
        <w:noProof/>
        <w:sz w:val="20"/>
        <w:szCs w:val="24"/>
      </w:rPr>
      <w:t>8</w:t>
    </w:r>
    <w:r w:rsidRPr="00D07FED">
      <w:rPr>
        <w:bCs/>
        <w:sz w:val="20"/>
        <w:szCs w:val="24"/>
      </w:rPr>
      <w:fldChar w:fldCharType="end"/>
    </w:r>
    <w:r w:rsidRPr="00D07FED">
      <w:rPr>
        <w:bCs/>
        <w:sz w:val="20"/>
        <w:szCs w:val="24"/>
      </w:rPr>
      <w:t xml:space="preserve"> of </w:t>
    </w:r>
    <w:r w:rsidRPr="00D07FED">
      <w:rPr>
        <w:bCs/>
        <w:sz w:val="20"/>
        <w:szCs w:val="24"/>
      </w:rPr>
      <w:fldChar w:fldCharType="begin"/>
    </w:r>
    <w:r w:rsidRPr="00D07FED">
      <w:rPr>
        <w:bCs/>
        <w:sz w:val="20"/>
        <w:szCs w:val="24"/>
      </w:rPr>
      <w:instrText xml:space="preserve"> NUMPAGES   \* MERGEFORMAT </w:instrText>
    </w:r>
    <w:r w:rsidRPr="00D07FED">
      <w:rPr>
        <w:bCs/>
        <w:sz w:val="20"/>
        <w:szCs w:val="24"/>
      </w:rPr>
      <w:fldChar w:fldCharType="separate"/>
    </w:r>
    <w:r w:rsidR="002D69F4">
      <w:rPr>
        <w:bCs/>
        <w:noProof/>
        <w:sz w:val="20"/>
        <w:szCs w:val="24"/>
      </w:rPr>
      <w:t>8</w:t>
    </w:r>
    <w:r w:rsidRPr="00D07FED">
      <w:rPr>
        <w:bCs/>
        <w:sz w:val="2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E3F8" w14:textId="1E9A53BD" w:rsidR="00D07FED" w:rsidRPr="00D07FED" w:rsidRDefault="00D07FED">
    <w:pPr>
      <w:pStyle w:val="Footer"/>
      <w:rPr>
        <w:sz w:val="20"/>
      </w:rPr>
    </w:pPr>
    <w:r w:rsidRPr="00D07FED">
      <w:rPr>
        <w:bCs/>
        <w:sz w:val="20"/>
        <w:szCs w:val="24"/>
      </w:rPr>
      <w:t>Rev. 08/</w:t>
    </w:r>
    <w:r w:rsidR="00740D68">
      <w:rPr>
        <w:bCs/>
        <w:sz w:val="20"/>
        <w:szCs w:val="24"/>
      </w:rPr>
      <w:t>2</w:t>
    </w:r>
    <w:r w:rsidRPr="00D07FED">
      <w:rPr>
        <w:bCs/>
        <w:sz w:val="20"/>
        <w:szCs w:val="24"/>
      </w:rPr>
      <w:t>6/2016</w:t>
    </w:r>
    <w:r w:rsidRPr="00D07FED">
      <w:rPr>
        <w:bCs/>
        <w:sz w:val="20"/>
        <w:szCs w:val="24"/>
      </w:rPr>
      <w:tab/>
    </w:r>
    <w:r w:rsidRPr="00D07FED">
      <w:rPr>
        <w:bCs/>
        <w:sz w:val="20"/>
        <w:szCs w:val="24"/>
      </w:rPr>
      <w:tab/>
    </w:r>
    <w:r w:rsidRPr="00D07FED">
      <w:rPr>
        <w:bCs/>
        <w:sz w:val="20"/>
        <w:szCs w:val="24"/>
      </w:rPr>
      <w:fldChar w:fldCharType="begin"/>
    </w:r>
    <w:r w:rsidRPr="00D07FED">
      <w:rPr>
        <w:bCs/>
        <w:sz w:val="20"/>
        <w:szCs w:val="24"/>
      </w:rPr>
      <w:instrText xml:space="preserve"> PAGE   \* MERGEFORMAT </w:instrText>
    </w:r>
    <w:r w:rsidRPr="00D07FED">
      <w:rPr>
        <w:bCs/>
        <w:sz w:val="20"/>
        <w:szCs w:val="24"/>
      </w:rPr>
      <w:fldChar w:fldCharType="separate"/>
    </w:r>
    <w:r w:rsidR="002D69F4">
      <w:rPr>
        <w:bCs/>
        <w:noProof/>
        <w:sz w:val="20"/>
        <w:szCs w:val="24"/>
      </w:rPr>
      <w:t>1</w:t>
    </w:r>
    <w:r w:rsidRPr="00D07FED">
      <w:rPr>
        <w:bCs/>
        <w:sz w:val="20"/>
        <w:szCs w:val="24"/>
      </w:rPr>
      <w:fldChar w:fldCharType="end"/>
    </w:r>
    <w:r w:rsidRPr="00D07FED">
      <w:rPr>
        <w:bCs/>
        <w:sz w:val="20"/>
        <w:szCs w:val="24"/>
      </w:rPr>
      <w:t xml:space="preserve"> of </w:t>
    </w:r>
    <w:r w:rsidRPr="00D07FED">
      <w:rPr>
        <w:bCs/>
        <w:sz w:val="20"/>
        <w:szCs w:val="24"/>
      </w:rPr>
      <w:fldChar w:fldCharType="begin"/>
    </w:r>
    <w:r w:rsidRPr="00D07FED">
      <w:rPr>
        <w:bCs/>
        <w:sz w:val="20"/>
        <w:szCs w:val="24"/>
      </w:rPr>
      <w:instrText xml:space="preserve"> NUMPAGES   \* MERGEFORMAT </w:instrText>
    </w:r>
    <w:r w:rsidRPr="00D07FED">
      <w:rPr>
        <w:bCs/>
        <w:sz w:val="20"/>
        <w:szCs w:val="24"/>
      </w:rPr>
      <w:fldChar w:fldCharType="separate"/>
    </w:r>
    <w:r w:rsidR="002D69F4">
      <w:rPr>
        <w:bCs/>
        <w:noProof/>
        <w:sz w:val="20"/>
        <w:szCs w:val="24"/>
      </w:rPr>
      <w:t>8</w:t>
    </w:r>
    <w:r w:rsidRPr="00D07FED">
      <w:rPr>
        <w:bCs/>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F82D" w14:textId="77777777" w:rsidR="0042616B" w:rsidRDefault="0042616B" w:rsidP="00E12464">
      <w:r>
        <w:separator/>
      </w:r>
    </w:p>
  </w:footnote>
  <w:footnote w:type="continuationSeparator" w:id="0">
    <w:p w14:paraId="48541EAD" w14:textId="77777777" w:rsidR="0042616B" w:rsidRDefault="0042616B" w:rsidP="00E12464">
      <w:r>
        <w:continuationSeparator/>
      </w:r>
    </w:p>
  </w:footnote>
  <w:footnote w:id="1">
    <w:p w14:paraId="1D3D8856" w14:textId="7777777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WIOA Section 134(c)(3)(F)(i)</w:t>
      </w:r>
    </w:p>
  </w:footnote>
  <w:footnote w:id="2">
    <w:p w14:paraId="5CA410C6" w14:textId="7777777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WIOA Section 134(c)(4)(G)</w:t>
      </w:r>
    </w:p>
  </w:footnote>
  <w:footnote w:id="3">
    <w:p w14:paraId="6724735A" w14:textId="6A324D23"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651.550</w:t>
      </w:r>
    </w:p>
  </w:footnote>
  <w:footnote w:id="4">
    <w:p w14:paraId="2CEACFCA" w14:textId="455B72ED"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WIOA Section 134(c)(3)(F)(ii) and 134(c)(3)(G)(iii)</w:t>
      </w:r>
    </w:p>
  </w:footnote>
  <w:footnote w:id="5">
    <w:p w14:paraId="1D246B5A" w14:textId="7777777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680.300</w:t>
      </w:r>
    </w:p>
  </w:footnote>
  <w:footnote w:id="6">
    <w:p w14:paraId="2106DB7B" w14:textId="77777777" w:rsidR="0042616B" w:rsidRPr="004C7783" w:rsidRDefault="0042616B" w:rsidP="000F7EA2">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w:t>
      </w:r>
      <w:r w:rsidRPr="004C7783">
        <w:rPr>
          <w:rFonts w:asciiTheme="majorHAnsi" w:hAnsiTheme="majorHAnsi" w:cs="Arial"/>
        </w:rPr>
        <w:t>§</w:t>
      </w:r>
      <w:r w:rsidRPr="004C7783">
        <w:rPr>
          <w:rFonts w:asciiTheme="majorHAnsi" w:hAnsiTheme="majorHAnsi"/>
        </w:rPr>
        <w:t xml:space="preserve"> 680.340(f)</w:t>
      </w:r>
    </w:p>
  </w:footnote>
  <w:footnote w:id="7">
    <w:p w14:paraId="193712FF" w14:textId="7777777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680.310(c)</w:t>
      </w:r>
    </w:p>
  </w:footnote>
  <w:footnote w:id="8">
    <w:p w14:paraId="212EF863" w14:textId="77777777" w:rsidR="0042616B" w:rsidRPr="004C7783" w:rsidRDefault="0042616B" w:rsidP="00C33A03">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w:t>
      </w:r>
      <w:r w:rsidRPr="004C7783">
        <w:rPr>
          <w:rFonts w:asciiTheme="majorHAnsi" w:hAnsiTheme="majorHAnsi" w:cs="Arial"/>
        </w:rPr>
        <w:t>§</w:t>
      </w:r>
      <w:r w:rsidRPr="004C7783">
        <w:rPr>
          <w:rFonts w:asciiTheme="majorHAnsi" w:hAnsiTheme="majorHAnsi"/>
        </w:rPr>
        <w:t xml:space="preserve"> 680.410(a)</w:t>
      </w:r>
    </w:p>
  </w:footnote>
  <w:footnote w:id="9">
    <w:p w14:paraId="4C150360" w14:textId="26A5F26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w:t>
      </w:r>
      <w:r w:rsidRPr="004C7783">
        <w:rPr>
          <w:rFonts w:asciiTheme="majorHAnsi" w:hAnsiTheme="majorHAnsi" w:cs="Arial"/>
        </w:rPr>
        <w:t>§</w:t>
      </w:r>
      <w:r w:rsidRPr="004C7783">
        <w:rPr>
          <w:rFonts w:asciiTheme="majorHAnsi" w:hAnsiTheme="majorHAnsi"/>
        </w:rPr>
        <w:t xml:space="preserve"> 680.320(a)</w:t>
      </w:r>
    </w:p>
  </w:footnote>
  <w:footnote w:id="10">
    <w:p w14:paraId="6E64C467" w14:textId="56DC489F"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680.320(a)(3)(i)</w:t>
      </w:r>
    </w:p>
  </w:footnote>
  <w:footnote w:id="11">
    <w:p w14:paraId="36A302BA" w14:textId="3F0DF832"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w:t>
      </w:r>
      <w:r w:rsidRPr="004C7783">
        <w:rPr>
          <w:rFonts w:asciiTheme="majorHAnsi" w:hAnsiTheme="majorHAnsi" w:cs="Arial"/>
        </w:rPr>
        <w:t>§</w:t>
      </w:r>
      <w:r w:rsidRPr="004C7783">
        <w:rPr>
          <w:rFonts w:asciiTheme="majorHAnsi" w:hAnsiTheme="majorHAnsi"/>
        </w:rPr>
        <w:t xml:space="preserve"> 680.340</w:t>
      </w:r>
    </w:p>
  </w:footnote>
  <w:footnote w:id="12">
    <w:p w14:paraId="1F190E02" w14:textId="4674D876"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680.230</w:t>
      </w:r>
    </w:p>
  </w:footnote>
  <w:footnote w:id="13">
    <w:p w14:paraId="19312269" w14:textId="3889AD6C"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TEGL 10-09, Attachment A</w:t>
      </w:r>
    </w:p>
  </w:footnote>
  <w:footnote w:id="14">
    <w:p w14:paraId="39E70E28" w14:textId="1962A40D"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w:t>
      </w:r>
      <w:r w:rsidRPr="004C7783">
        <w:rPr>
          <w:rFonts w:asciiTheme="majorHAnsi" w:hAnsiTheme="majorHAnsi" w:cs="Arial"/>
        </w:rPr>
        <w:t>§</w:t>
      </w:r>
      <w:r w:rsidRPr="004C7783">
        <w:rPr>
          <w:rFonts w:asciiTheme="majorHAnsi" w:hAnsiTheme="majorHAnsi"/>
        </w:rPr>
        <w:t xml:space="preserve"> 680.230(a)(2)</w:t>
      </w:r>
    </w:p>
  </w:footnote>
  <w:footnote w:id="15">
    <w:p w14:paraId="33A7EBF9" w14:textId="4881B8EF"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20 CFR § 680.230(b)</w:t>
      </w:r>
    </w:p>
  </w:footnote>
  <w:footnote w:id="16">
    <w:p w14:paraId="699F79BB" w14:textId="4901EDC7" w:rsidR="0042616B" w:rsidRPr="004C7783" w:rsidRDefault="0042616B">
      <w:pPr>
        <w:pStyle w:val="FootnoteText"/>
        <w:rPr>
          <w:rFonts w:asciiTheme="majorHAnsi" w:hAnsiTheme="majorHAnsi"/>
        </w:rPr>
      </w:pPr>
      <w:r w:rsidRPr="004C7783">
        <w:rPr>
          <w:rStyle w:val="FootnoteReference"/>
          <w:rFonts w:asciiTheme="majorHAnsi" w:hAnsiTheme="majorHAnsi"/>
        </w:rPr>
        <w:footnoteRef/>
      </w:r>
      <w:r w:rsidRPr="004C7783">
        <w:rPr>
          <w:rFonts w:asciiTheme="majorHAnsi" w:hAnsiTheme="majorHAnsi"/>
        </w:rPr>
        <w:t xml:space="preserve"> WIOA </w:t>
      </w:r>
      <w:r w:rsidRPr="004C7783">
        <w:rPr>
          <w:rFonts w:asciiTheme="majorHAnsi" w:hAnsiTheme="majorHAnsi" w:cs="Arial"/>
          <w:sz w:val="22"/>
          <w:szCs w:val="22"/>
        </w:rPr>
        <w:t>Sec.134(c)(3)(B)(ii)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3575" w14:textId="61EE5D9D" w:rsidR="0042616B" w:rsidRDefault="0042616B" w:rsidP="005C5351">
    <w:pPr>
      <w:tabs>
        <w:tab w:val="left" w:pos="720"/>
        <w:tab w:val="left" w:pos="1440"/>
        <w:tab w:val="left" w:pos="2160"/>
        <w:tab w:val="left" w:pos="3600"/>
        <w:tab w:val="left" w:pos="4320"/>
        <w:tab w:val="right" w:pos="9540"/>
      </w:tabs>
      <w:jc w:val="right"/>
      <w:outlineLvl w:val="0"/>
      <w:rPr>
        <w:rFonts w:ascii="Calibri" w:hAnsi="Calibri" w:cs="Calibri"/>
        <w:spacing w:val="20"/>
        <w:szCs w:val="24"/>
      </w:rPr>
    </w:pPr>
  </w:p>
  <w:p w14:paraId="4C9DC36C" w14:textId="50AE0205" w:rsidR="0042616B" w:rsidRDefault="00426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5ABA" w14:textId="35DCCDB2" w:rsidR="0042616B" w:rsidRDefault="0042616B" w:rsidP="005C5351">
    <w:pPr>
      <w:pBdr>
        <w:bottom w:val="single" w:sz="4" w:space="1" w:color="auto"/>
      </w:pBdr>
      <w:tabs>
        <w:tab w:val="left" w:pos="720"/>
        <w:tab w:val="left" w:pos="1440"/>
        <w:tab w:val="left" w:pos="2160"/>
        <w:tab w:val="left" w:pos="3600"/>
        <w:tab w:val="left" w:pos="4320"/>
        <w:tab w:val="right" w:pos="9540"/>
      </w:tabs>
      <w:jc w:val="right"/>
      <w:outlineLvl w:val="0"/>
      <w:rPr>
        <w:rFonts w:cs="Arial"/>
        <w:b/>
        <w:i/>
        <w:szCs w:val="24"/>
      </w:rPr>
    </w:pPr>
    <w:r w:rsidRPr="00B4330B">
      <w:rPr>
        <w:rFonts w:cs="Arial"/>
        <w:b/>
        <w:i/>
        <w:szCs w:val="24"/>
      </w:rPr>
      <w:t xml:space="preserve"> </w:t>
    </w:r>
    <w:r>
      <w:rPr>
        <w:rFonts w:cs="Arial"/>
        <w:b/>
        <w:i/>
        <w:szCs w:val="24"/>
      </w:rPr>
      <w:t>Workforce Innovation and Opportunity Act</w:t>
    </w:r>
  </w:p>
  <w:p w14:paraId="157F6AD0" w14:textId="77777777" w:rsidR="0042616B" w:rsidRDefault="0042616B" w:rsidP="005C5351">
    <w:pPr>
      <w:tabs>
        <w:tab w:val="left" w:pos="720"/>
        <w:tab w:val="left" w:pos="1440"/>
        <w:tab w:val="left" w:pos="2160"/>
        <w:tab w:val="left" w:pos="2880"/>
        <w:tab w:val="left" w:pos="3600"/>
        <w:tab w:val="left" w:pos="4320"/>
        <w:tab w:val="right" w:pos="9540"/>
      </w:tabs>
      <w:ind w:left="2880"/>
      <w:jc w:val="right"/>
      <w:outlineLvl w:val="0"/>
      <w:rPr>
        <w:rFonts w:ascii="Calibri" w:hAnsi="Calibri" w:cs="Calibri"/>
        <w:spacing w:val="20"/>
        <w:sz w:val="6"/>
        <w:szCs w:val="24"/>
      </w:rPr>
    </w:pPr>
  </w:p>
  <w:p w14:paraId="54316DDA" w14:textId="77777777" w:rsidR="0042616B" w:rsidRDefault="0042616B" w:rsidP="005C5351">
    <w:pPr>
      <w:tabs>
        <w:tab w:val="left" w:pos="720"/>
        <w:tab w:val="left" w:pos="1440"/>
        <w:tab w:val="left" w:pos="2160"/>
        <w:tab w:val="left" w:pos="2880"/>
        <w:tab w:val="left" w:pos="3600"/>
        <w:tab w:val="left" w:pos="4320"/>
        <w:tab w:val="right" w:pos="9540"/>
      </w:tabs>
      <w:ind w:left="2880"/>
      <w:jc w:val="right"/>
      <w:outlineLvl w:val="0"/>
      <w:rPr>
        <w:rFonts w:ascii="Calibri" w:hAnsi="Calibri" w:cs="Calibri"/>
        <w:spacing w:val="20"/>
        <w:szCs w:val="24"/>
      </w:rPr>
    </w:pPr>
    <w:r>
      <w:rPr>
        <w:rFonts w:ascii="Calibri" w:hAnsi="Calibri" w:cs="Calibri"/>
        <w:spacing w:val="20"/>
        <w:szCs w:val="24"/>
      </w:rPr>
      <w:t>Nebraska Department of Labor</w:t>
    </w:r>
  </w:p>
  <w:p w14:paraId="07501832" w14:textId="77777777" w:rsidR="0042616B" w:rsidRDefault="0042616B" w:rsidP="005C5351">
    <w:pPr>
      <w:ind w:left="5040"/>
      <w:jc w:val="right"/>
      <w:rPr>
        <w:rFonts w:ascii="Calibri" w:hAnsi="Calibri" w:cs="Calibri"/>
        <w:spacing w:val="20"/>
        <w:szCs w:val="24"/>
      </w:rPr>
    </w:pPr>
    <w:r>
      <w:rPr>
        <w:rFonts w:ascii="Calibri" w:hAnsi="Calibri" w:cs="Calibri"/>
        <w:spacing w:val="20"/>
        <w:szCs w:val="24"/>
      </w:rPr>
      <w:t>Office of Employment &amp; Training</w:t>
    </w:r>
  </w:p>
  <w:p w14:paraId="55BFB7BE" w14:textId="77777777" w:rsidR="0042616B" w:rsidRDefault="0042616B">
    <w:pPr>
      <w:pStyle w:val="Header"/>
    </w:pPr>
  </w:p>
  <w:p w14:paraId="7640971B" w14:textId="77777777" w:rsidR="007B6F20" w:rsidRDefault="007B6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1395"/>
    <w:multiLevelType w:val="hybridMultilevel"/>
    <w:tmpl w:val="EEF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F1A0F"/>
    <w:multiLevelType w:val="hybridMultilevel"/>
    <w:tmpl w:val="F6D4D8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63727C"/>
    <w:multiLevelType w:val="hybridMultilevel"/>
    <w:tmpl w:val="18B2C2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76975"/>
    <w:multiLevelType w:val="hybridMultilevel"/>
    <w:tmpl w:val="F77CDCE8"/>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471E7"/>
    <w:multiLevelType w:val="hybridMultilevel"/>
    <w:tmpl w:val="DE608D84"/>
    <w:lvl w:ilvl="0" w:tplc="28EE89A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33943"/>
    <w:multiLevelType w:val="hybridMultilevel"/>
    <w:tmpl w:val="307EB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142F5"/>
    <w:multiLevelType w:val="hybridMultilevel"/>
    <w:tmpl w:val="7A8E2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54E7"/>
    <w:multiLevelType w:val="hybridMultilevel"/>
    <w:tmpl w:val="ED30D390"/>
    <w:lvl w:ilvl="0" w:tplc="65340F9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E0143"/>
    <w:multiLevelType w:val="hybridMultilevel"/>
    <w:tmpl w:val="4C7CB7E4"/>
    <w:lvl w:ilvl="0" w:tplc="28EE89A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E76DE"/>
    <w:multiLevelType w:val="hybridMultilevel"/>
    <w:tmpl w:val="108294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822FD"/>
    <w:multiLevelType w:val="hybridMultilevel"/>
    <w:tmpl w:val="D744D0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153E1"/>
    <w:multiLevelType w:val="hybridMultilevel"/>
    <w:tmpl w:val="F6D4D8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A26264"/>
    <w:multiLevelType w:val="hybridMultilevel"/>
    <w:tmpl w:val="B7D880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A691F"/>
    <w:multiLevelType w:val="hybridMultilevel"/>
    <w:tmpl w:val="467EB96E"/>
    <w:lvl w:ilvl="0" w:tplc="4A96C4E8">
      <w:start w:val="1"/>
      <w:numFmt w:val="lowerLetter"/>
      <w:lvlText w:val="(%1)"/>
      <w:lvlJc w:val="left"/>
      <w:pPr>
        <w:ind w:left="106" w:hanging="312"/>
      </w:pPr>
      <w:rPr>
        <w:rFonts w:ascii="Times New Roman" w:eastAsia="Times New Roman" w:hAnsi="Times New Roman" w:hint="default"/>
        <w:w w:val="102"/>
        <w:sz w:val="19"/>
        <w:szCs w:val="19"/>
      </w:rPr>
    </w:lvl>
    <w:lvl w:ilvl="1" w:tplc="90521300">
      <w:start w:val="1"/>
      <w:numFmt w:val="bullet"/>
      <w:lvlText w:val="•"/>
      <w:lvlJc w:val="left"/>
      <w:pPr>
        <w:ind w:left="1042" w:hanging="312"/>
      </w:pPr>
      <w:rPr>
        <w:rFonts w:hint="default"/>
      </w:rPr>
    </w:lvl>
    <w:lvl w:ilvl="2" w:tplc="6BCC00CC">
      <w:start w:val="1"/>
      <w:numFmt w:val="bullet"/>
      <w:lvlText w:val="•"/>
      <w:lvlJc w:val="left"/>
      <w:pPr>
        <w:ind w:left="1977" w:hanging="312"/>
      </w:pPr>
      <w:rPr>
        <w:rFonts w:hint="default"/>
      </w:rPr>
    </w:lvl>
    <w:lvl w:ilvl="3" w:tplc="E6A4BC8E">
      <w:start w:val="1"/>
      <w:numFmt w:val="bullet"/>
      <w:lvlText w:val="•"/>
      <w:lvlJc w:val="left"/>
      <w:pPr>
        <w:ind w:left="2912" w:hanging="312"/>
      </w:pPr>
      <w:rPr>
        <w:rFonts w:hint="default"/>
      </w:rPr>
    </w:lvl>
    <w:lvl w:ilvl="4" w:tplc="1D72165C">
      <w:start w:val="1"/>
      <w:numFmt w:val="bullet"/>
      <w:lvlText w:val="•"/>
      <w:lvlJc w:val="left"/>
      <w:pPr>
        <w:ind w:left="3848" w:hanging="312"/>
      </w:pPr>
      <w:rPr>
        <w:rFonts w:hint="default"/>
      </w:rPr>
    </w:lvl>
    <w:lvl w:ilvl="5" w:tplc="4926C124">
      <w:start w:val="1"/>
      <w:numFmt w:val="bullet"/>
      <w:lvlText w:val="•"/>
      <w:lvlJc w:val="left"/>
      <w:pPr>
        <w:ind w:left="4783" w:hanging="312"/>
      </w:pPr>
      <w:rPr>
        <w:rFonts w:hint="default"/>
      </w:rPr>
    </w:lvl>
    <w:lvl w:ilvl="6" w:tplc="0B4833F4">
      <w:start w:val="1"/>
      <w:numFmt w:val="bullet"/>
      <w:lvlText w:val="•"/>
      <w:lvlJc w:val="left"/>
      <w:pPr>
        <w:ind w:left="5718" w:hanging="312"/>
      </w:pPr>
      <w:rPr>
        <w:rFonts w:hint="default"/>
      </w:rPr>
    </w:lvl>
    <w:lvl w:ilvl="7" w:tplc="8872F318">
      <w:start w:val="1"/>
      <w:numFmt w:val="bullet"/>
      <w:lvlText w:val="•"/>
      <w:lvlJc w:val="left"/>
      <w:pPr>
        <w:ind w:left="6654" w:hanging="312"/>
      </w:pPr>
      <w:rPr>
        <w:rFonts w:hint="default"/>
      </w:rPr>
    </w:lvl>
    <w:lvl w:ilvl="8" w:tplc="8D044E1A">
      <w:start w:val="1"/>
      <w:numFmt w:val="bullet"/>
      <w:lvlText w:val="•"/>
      <w:lvlJc w:val="left"/>
      <w:pPr>
        <w:ind w:left="7589" w:hanging="312"/>
      </w:pPr>
      <w:rPr>
        <w:rFonts w:hint="default"/>
      </w:rPr>
    </w:lvl>
  </w:abstractNum>
  <w:abstractNum w:abstractNumId="14" w15:restartNumberingAfterBreak="0">
    <w:nsid w:val="76806575"/>
    <w:multiLevelType w:val="hybridMultilevel"/>
    <w:tmpl w:val="F6D4D8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B30B2C"/>
    <w:multiLevelType w:val="hybridMultilevel"/>
    <w:tmpl w:val="A86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5"/>
  </w:num>
  <w:num w:numId="5">
    <w:abstractNumId w:val="5"/>
  </w:num>
  <w:num w:numId="6">
    <w:abstractNumId w:val="6"/>
  </w:num>
  <w:num w:numId="7">
    <w:abstractNumId w:val="13"/>
  </w:num>
  <w:num w:numId="8">
    <w:abstractNumId w:val="14"/>
  </w:num>
  <w:num w:numId="9">
    <w:abstractNumId w:val="11"/>
  </w:num>
  <w:num w:numId="10">
    <w:abstractNumId w:val="12"/>
  </w:num>
  <w:num w:numId="11">
    <w:abstractNumId w:val="4"/>
  </w:num>
  <w:num w:numId="12">
    <w:abstractNumId w:val="8"/>
  </w:num>
  <w:num w:numId="13">
    <w:abstractNumId w:val="10"/>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ffnIwhymgjL6Ehd2nTxO4OVwyOsXZV5z0AYWEhlLcZPpsSFvG9gPDtLBcojiJlKhM8F4eU2UcLX9w+pq1BeQsQ==" w:salt="l6UDVk+Yu1nhMInAL9zNG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DB"/>
    <w:rsid w:val="00006C30"/>
    <w:rsid w:val="00021CF8"/>
    <w:rsid w:val="0004107A"/>
    <w:rsid w:val="00052E95"/>
    <w:rsid w:val="00056238"/>
    <w:rsid w:val="000779B3"/>
    <w:rsid w:val="00081DD2"/>
    <w:rsid w:val="00083940"/>
    <w:rsid w:val="0009476A"/>
    <w:rsid w:val="000A4A00"/>
    <w:rsid w:val="000C0FF6"/>
    <w:rsid w:val="000F7EA2"/>
    <w:rsid w:val="00107F1D"/>
    <w:rsid w:val="0011304C"/>
    <w:rsid w:val="00191919"/>
    <w:rsid w:val="001A602C"/>
    <w:rsid w:val="001F44E5"/>
    <w:rsid w:val="00213CE8"/>
    <w:rsid w:val="00223D80"/>
    <w:rsid w:val="002263C6"/>
    <w:rsid w:val="0026128E"/>
    <w:rsid w:val="00284982"/>
    <w:rsid w:val="002B1E4E"/>
    <w:rsid w:val="002C16D0"/>
    <w:rsid w:val="002D69F4"/>
    <w:rsid w:val="003177BB"/>
    <w:rsid w:val="003613E0"/>
    <w:rsid w:val="003A3471"/>
    <w:rsid w:val="003A71DE"/>
    <w:rsid w:val="003B5FF3"/>
    <w:rsid w:val="0042616B"/>
    <w:rsid w:val="00447AC5"/>
    <w:rsid w:val="0045649F"/>
    <w:rsid w:val="00457996"/>
    <w:rsid w:val="00467A0B"/>
    <w:rsid w:val="00470C15"/>
    <w:rsid w:val="00484A78"/>
    <w:rsid w:val="004B3BA4"/>
    <w:rsid w:val="004C7783"/>
    <w:rsid w:val="005C5351"/>
    <w:rsid w:val="005D35B9"/>
    <w:rsid w:val="00627011"/>
    <w:rsid w:val="00633F8A"/>
    <w:rsid w:val="006361DB"/>
    <w:rsid w:val="00644A7C"/>
    <w:rsid w:val="00652A15"/>
    <w:rsid w:val="00654025"/>
    <w:rsid w:val="00656BC1"/>
    <w:rsid w:val="006D37A4"/>
    <w:rsid w:val="006D58DB"/>
    <w:rsid w:val="006F3F3C"/>
    <w:rsid w:val="007127CF"/>
    <w:rsid w:val="00715B61"/>
    <w:rsid w:val="007238E2"/>
    <w:rsid w:val="00740D68"/>
    <w:rsid w:val="00750A6E"/>
    <w:rsid w:val="00762172"/>
    <w:rsid w:val="0076376D"/>
    <w:rsid w:val="00770279"/>
    <w:rsid w:val="007B6F20"/>
    <w:rsid w:val="007C1A30"/>
    <w:rsid w:val="007D41AB"/>
    <w:rsid w:val="007F06BD"/>
    <w:rsid w:val="007F7CCD"/>
    <w:rsid w:val="008049C1"/>
    <w:rsid w:val="00810155"/>
    <w:rsid w:val="0087512B"/>
    <w:rsid w:val="0088573A"/>
    <w:rsid w:val="0089485E"/>
    <w:rsid w:val="008D7386"/>
    <w:rsid w:val="008E45E6"/>
    <w:rsid w:val="008F4960"/>
    <w:rsid w:val="009039AE"/>
    <w:rsid w:val="009105FF"/>
    <w:rsid w:val="009121C1"/>
    <w:rsid w:val="00941522"/>
    <w:rsid w:val="00954094"/>
    <w:rsid w:val="009818E4"/>
    <w:rsid w:val="009C4B8A"/>
    <w:rsid w:val="00A218DF"/>
    <w:rsid w:val="00A5049C"/>
    <w:rsid w:val="00A710A1"/>
    <w:rsid w:val="00A77FA1"/>
    <w:rsid w:val="00A95FA6"/>
    <w:rsid w:val="00AB06EC"/>
    <w:rsid w:val="00AC5134"/>
    <w:rsid w:val="00B161D7"/>
    <w:rsid w:val="00B4330B"/>
    <w:rsid w:val="00B71011"/>
    <w:rsid w:val="00BA3BB6"/>
    <w:rsid w:val="00C33A03"/>
    <w:rsid w:val="00C56FBE"/>
    <w:rsid w:val="00C613F4"/>
    <w:rsid w:val="00C63968"/>
    <w:rsid w:val="00C90E8B"/>
    <w:rsid w:val="00C933A8"/>
    <w:rsid w:val="00CA3AF1"/>
    <w:rsid w:val="00D074F8"/>
    <w:rsid w:val="00D07FED"/>
    <w:rsid w:val="00D149E4"/>
    <w:rsid w:val="00D45F54"/>
    <w:rsid w:val="00D55A5B"/>
    <w:rsid w:val="00D6441A"/>
    <w:rsid w:val="00D836FB"/>
    <w:rsid w:val="00DB2BC1"/>
    <w:rsid w:val="00DD2D26"/>
    <w:rsid w:val="00DE0974"/>
    <w:rsid w:val="00DF1E3C"/>
    <w:rsid w:val="00E0651A"/>
    <w:rsid w:val="00E12464"/>
    <w:rsid w:val="00E251EE"/>
    <w:rsid w:val="00E329B9"/>
    <w:rsid w:val="00E46A31"/>
    <w:rsid w:val="00E7151B"/>
    <w:rsid w:val="00ED01C7"/>
    <w:rsid w:val="00ED59FB"/>
    <w:rsid w:val="00EF35B6"/>
    <w:rsid w:val="00F7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C09707"/>
  <w15:chartTrackingRefBased/>
  <w15:docId w15:val="{6549D16E-F0F7-45F8-9B4D-DDE0EA4C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6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C53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5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2616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12464"/>
    <w:pPr>
      <w:spacing w:after="120"/>
    </w:pPr>
  </w:style>
  <w:style w:type="character" w:customStyle="1" w:styleId="BodyTextChar">
    <w:name w:val="Body Text Char"/>
    <w:basedOn w:val="DefaultParagraphFont"/>
    <w:link w:val="BodyText"/>
    <w:semiHidden/>
    <w:rsid w:val="00E12464"/>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E12464"/>
    <w:pPr>
      <w:spacing w:after="120"/>
      <w:ind w:left="360"/>
    </w:pPr>
  </w:style>
  <w:style w:type="character" w:customStyle="1" w:styleId="BodyTextIndentChar">
    <w:name w:val="Body Text Indent Char"/>
    <w:basedOn w:val="DefaultParagraphFont"/>
    <w:link w:val="BodyTextIndent"/>
    <w:uiPriority w:val="99"/>
    <w:semiHidden/>
    <w:rsid w:val="00E12464"/>
    <w:rPr>
      <w:rFonts w:ascii="Arial" w:eastAsia="Times New Roman" w:hAnsi="Arial" w:cs="Times New Roman"/>
      <w:sz w:val="24"/>
      <w:szCs w:val="20"/>
    </w:rPr>
  </w:style>
  <w:style w:type="paragraph" w:styleId="BodyTextIndent2">
    <w:name w:val="Body Text Indent 2"/>
    <w:basedOn w:val="Normal"/>
    <w:link w:val="BodyTextIndent2Char"/>
    <w:semiHidden/>
    <w:unhideWhenUsed/>
    <w:rsid w:val="00E12464"/>
    <w:pPr>
      <w:ind w:left="720"/>
    </w:pPr>
  </w:style>
  <w:style w:type="character" w:customStyle="1" w:styleId="BodyTextIndent2Char">
    <w:name w:val="Body Text Indent 2 Char"/>
    <w:basedOn w:val="DefaultParagraphFont"/>
    <w:link w:val="BodyTextIndent2"/>
    <w:semiHidden/>
    <w:rsid w:val="00E12464"/>
    <w:rPr>
      <w:rFonts w:ascii="Arial" w:eastAsia="Times New Roman" w:hAnsi="Arial" w:cs="Times New Roman"/>
      <w:sz w:val="24"/>
      <w:szCs w:val="20"/>
    </w:rPr>
  </w:style>
  <w:style w:type="paragraph" w:styleId="Header">
    <w:name w:val="header"/>
    <w:basedOn w:val="Normal"/>
    <w:link w:val="HeaderChar"/>
    <w:uiPriority w:val="99"/>
    <w:unhideWhenUsed/>
    <w:rsid w:val="00E12464"/>
    <w:pPr>
      <w:tabs>
        <w:tab w:val="center" w:pos="4680"/>
        <w:tab w:val="right" w:pos="9360"/>
      </w:tabs>
    </w:pPr>
  </w:style>
  <w:style w:type="character" w:customStyle="1" w:styleId="HeaderChar">
    <w:name w:val="Header Char"/>
    <w:basedOn w:val="DefaultParagraphFont"/>
    <w:link w:val="Header"/>
    <w:uiPriority w:val="99"/>
    <w:rsid w:val="00E12464"/>
    <w:rPr>
      <w:rFonts w:ascii="Arial" w:eastAsia="Times New Roman" w:hAnsi="Arial" w:cs="Times New Roman"/>
      <w:sz w:val="24"/>
      <w:szCs w:val="20"/>
    </w:rPr>
  </w:style>
  <w:style w:type="paragraph" w:styleId="Footer">
    <w:name w:val="footer"/>
    <w:basedOn w:val="Normal"/>
    <w:link w:val="FooterChar"/>
    <w:uiPriority w:val="99"/>
    <w:unhideWhenUsed/>
    <w:rsid w:val="00E12464"/>
    <w:pPr>
      <w:tabs>
        <w:tab w:val="center" w:pos="4680"/>
        <w:tab w:val="right" w:pos="9360"/>
      </w:tabs>
    </w:pPr>
  </w:style>
  <w:style w:type="character" w:customStyle="1" w:styleId="FooterChar">
    <w:name w:val="Footer Char"/>
    <w:basedOn w:val="DefaultParagraphFont"/>
    <w:link w:val="Footer"/>
    <w:uiPriority w:val="99"/>
    <w:rsid w:val="00E12464"/>
    <w:rPr>
      <w:rFonts w:ascii="Arial" w:eastAsia="Times New Roman" w:hAnsi="Arial" w:cs="Times New Roman"/>
      <w:sz w:val="24"/>
      <w:szCs w:val="20"/>
    </w:rPr>
  </w:style>
  <w:style w:type="paragraph" w:styleId="FootnoteText">
    <w:name w:val="footnote text"/>
    <w:basedOn w:val="Normal"/>
    <w:link w:val="FootnoteTextChar"/>
    <w:uiPriority w:val="99"/>
    <w:unhideWhenUsed/>
    <w:rsid w:val="00E251EE"/>
    <w:rPr>
      <w:sz w:val="20"/>
    </w:rPr>
  </w:style>
  <w:style w:type="character" w:customStyle="1" w:styleId="FootnoteTextChar">
    <w:name w:val="Footnote Text Char"/>
    <w:basedOn w:val="DefaultParagraphFont"/>
    <w:link w:val="FootnoteText"/>
    <w:uiPriority w:val="99"/>
    <w:rsid w:val="00E251E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E251EE"/>
    <w:rPr>
      <w:vertAlign w:val="superscript"/>
    </w:rPr>
  </w:style>
  <w:style w:type="paragraph" w:styleId="ListParagraph">
    <w:name w:val="List Paragraph"/>
    <w:basedOn w:val="Normal"/>
    <w:uiPriority w:val="34"/>
    <w:qFormat/>
    <w:rsid w:val="00A218DF"/>
    <w:pPr>
      <w:ind w:left="720"/>
      <w:contextualSpacing/>
    </w:pPr>
  </w:style>
  <w:style w:type="character" w:styleId="CommentReference">
    <w:name w:val="annotation reference"/>
    <w:basedOn w:val="DefaultParagraphFont"/>
    <w:uiPriority w:val="99"/>
    <w:semiHidden/>
    <w:unhideWhenUsed/>
    <w:rsid w:val="00467A0B"/>
    <w:rPr>
      <w:sz w:val="16"/>
      <w:szCs w:val="16"/>
    </w:rPr>
  </w:style>
  <w:style w:type="paragraph" w:styleId="CommentText">
    <w:name w:val="annotation text"/>
    <w:basedOn w:val="Normal"/>
    <w:link w:val="CommentTextChar"/>
    <w:uiPriority w:val="99"/>
    <w:semiHidden/>
    <w:unhideWhenUsed/>
    <w:rsid w:val="00467A0B"/>
    <w:rPr>
      <w:sz w:val="20"/>
    </w:rPr>
  </w:style>
  <w:style w:type="character" w:customStyle="1" w:styleId="CommentTextChar">
    <w:name w:val="Comment Text Char"/>
    <w:basedOn w:val="DefaultParagraphFont"/>
    <w:link w:val="CommentText"/>
    <w:uiPriority w:val="99"/>
    <w:semiHidden/>
    <w:rsid w:val="00467A0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67A0B"/>
    <w:rPr>
      <w:b/>
      <w:bCs/>
    </w:rPr>
  </w:style>
  <w:style w:type="character" w:customStyle="1" w:styleId="CommentSubjectChar">
    <w:name w:val="Comment Subject Char"/>
    <w:basedOn w:val="CommentTextChar"/>
    <w:link w:val="CommentSubject"/>
    <w:uiPriority w:val="99"/>
    <w:semiHidden/>
    <w:rsid w:val="00467A0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67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B"/>
    <w:rPr>
      <w:rFonts w:ascii="Segoe UI" w:eastAsia="Times New Roman" w:hAnsi="Segoe UI" w:cs="Segoe UI"/>
      <w:sz w:val="18"/>
      <w:szCs w:val="18"/>
    </w:rPr>
  </w:style>
  <w:style w:type="character" w:styleId="Hyperlink">
    <w:name w:val="Hyperlink"/>
    <w:basedOn w:val="DefaultParagraphFont"/>
    <w:uiPriority w:val="99"/>
    <w:unhideWhenUsed/>
    <w:rsid w:val="0088573A"/>
    <w:rPr>
      <w:color w:val="0563C1" w:themeColor="hyperlink"/>
      <w:u w:val="single"/>
    </w:rPr>
  </w:style>
  <w:style w:type="character" w:styleId="FollowedHyperlink">
    <w:name w:val="FollowedHyperlink"/>
    <w:basedOn w:val="DefaultParagraphFont"/>
    <w:uiPriority w:val="99"/>
    <w:semiHidden/>
    <w:unhideWhenUsed/>
    <w:rsid w:val="00B161D7"/>
    <w:rPr>
      <w:color w:val="954F72" w:themeColor="followedHyperlink"/>
      <w:u w:val="single"/>
    </w:rPr>
  </w:style>
  <w:style w:type="character" w:customStyle="1" w:styleId="Heading1Char">
    <w:name w:val="Heading 1 Char"/>
    <w:basedOn w:val="DefaultParagraphFont"/>
    <w:link w:val="Heading1"/>
    <w:uiPriority w:val="9"/>
    <w:rsid w:val="005C5351"/>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0F7EA2"/>
    <w:pPr>
      <w:spacing w:after="0" w:line="240" w:lineRule="auto"/>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F35B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2616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wioa_policy@nebrask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C8BF-B157-4744-A07D-DA2AC615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 Misty</dc:creator>
  <cp:keywords/>
  <dc:description/>
  <cp:lastModifiedBy>Andersen, Deb</cp:lastModifiedBy>
  <cp:revision>7</cp:revision>
  <cp:lastPrinted>2015-07-20T16:19:00Z</cp:lastPrinted>
  <dcterms:created xsi:type="dcterms:W3CDTF">2016-08-26T21:37:00Z</dcterms:created>
  <dcterms:modified xsi:type="dcterms:W3CDTF">2016-08-26T21:41:00Z</dcterms:modified>
</cp:coreProperties>
</file>