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BD" w:rsidRPr="00AF4CC9" w:rsidRDefault="00BA19BD" w:rsidP="00BA19BD">
      <w:pPr>
        <w:pStyle w:val="Header"/>
        <w:jc w:val="right"/>
        <w:rPr>
          <w:b/>
          <w:sz w:val="32"/>
          <w:szCs w:val="32"/>
        </w:rPr>
      </w:pPr>
      <w:r w:rsidRPr="00AF4CC9">
        <w:rPr>
          <w:b/>
          <w:sz w:val="32"/>
          <w:szCs w:val="32"/>
        </w:rPr>
        <w:t>Attachment S</w:t>
      </w:r>
    </w:p>
    <w:p w:rsidR="00BA19BD" w:rsidRPr="00AF4CC9" w:rsidRDefault="00BA19BD">
      <w:pPr>
        <w:rPr>
          <w:sz w:val="24"/>
          <w:szCs w:val="24"/>
          <w:u w:val="single"/>
        </w:rPr>
      </w:pPr>
    </w:p>
    <w:p w:rsidR="00BA19BD" w:rsidRPr="00AF4CC9" w:rsidRDefault="00BA19BD" w:rsidP="00BA19BD">
      <w:pPr>
        <w:pStyle w:val="Heading1"/>
        <w:rPr>
          <w:rFonts w:asciiTheme="minorHAnsi" w:hAnsiTheme="minorHAnsi"/>
          <w:color w:val="FF0000"/>
          <w:w w:val="105"/>
          <w:sz w:val="24"/>
          <w:szCs w:val="24"/>
          <w:u w:val="single"/>
        </w:rPr>
      </w:pPr>
      <w:r w:rsidRPr="00AF4CC9">
        <w:rPr>
          <w:rFonts w:asciiTheme="minorHAnsi" w:hAnsiTheme="minorHAnsi"/>
          <w:color w:val="FF0000"/>
          <w:w w:val="105"/>
          <w:sz w:val="24"/>
          <w:szCs w:val="24"/>
          <w:u w:val="single"/>
        </w:rPr>
        <w:t>GENERAL INFORMATION ON SUPPORTIVE SERVICES</w:t>
      </w:r>
    </w:p>
    <w:p w:rsidR="00F36444" w:rsidRPr="00AF4CC9" w:rsidRDefault="00F36444" w:rsidP="00BA19BD">
      <w:pPr>
        <w:pStyle w:val="Heading1"/>
        <w:rPr>
          <w:rFonts w:asciiTheme="minorHAnsi" w:hAnsiTheme="minorHAnsi"/>
          <w:color w:val="FF0000"/>
          <w:w w:val="105"/>
          <w:sz w:val="24"/>
          <w:szCs w:val="24"/>
          <w:u w:val="single"/>
        </w:rPr>
      </w:pPr>
    </w:p>
    <w:p w:rsidR="00BA19BD" w:rsidRPr="00AF4CC9" w:rsidRDefault="00BA19BD">
      <w:pPr>
        <w:rPr>
          <w:sz w:val="24"/>
          <w:szCs w:val="24"/>
        </w:rPr>
      </w:pPr>
      <w:r w:rsidRPr="00AF4CC9">
        <w:rPr>
          <w:sz w:val="24"/>
          <w:szCs w:val="24"/>
        </w:rPr>
        <w:t>Supportive services may only be provided to clients who are participating in intensive or training services, and are unable to obtain the services through other programs which provide such services. In addition, these services may only be provided after it has been determined such services are necessary to enable the client to participate in Title 1, Workforce Innovation and Opportunity Act activities.</w:t>
      </w:r>
    </w:p>
    <w:p w:rsidR="00BA19BD" w:rsidRPr="00AF4CC9" w:rsidRDefault="00BA19BD">
      <w:pPr>
        <w:rPr>
          <w:sz w:val="24"/>
          <w:szCs w:val="24"/>
        </w:rPr>
      </w:pPr>
      <w:r w:rsidRPr="00AF4CC9">
        <w:rPr>
          <w:sz w:val="24"/>
          <w:szCs w:val="24"/>
        </w:rPr>
        <w:t>Coordination between the service provid</w:t>
      </w:r>
      <w:r w:rsidR="008314C2" w:rsidRPr="00AF4CC9">
        <w:rPr>
          <w:sz w:val="24"/>
          <w:szCs w:val="24"/>
        </w:rPr>
        <w:t>er and the other Workforce Development</w:t>
      </w:r>
      <w:r w:rsidRPr="00AF4CC9">
        <w:rPr>
          <w:sz w:val="24"/>
          <w:szCs w:val="24"/>
        </w:rPr>
        <w:t xml:space="preserve"> partners must take place to determine the availability of supportive services from sources other than the Workforce </w:t>
      </w:r>
      <w:r w:rsidR="008314C2" w:rsidRPr="00AF4CC9">
        <w:rPr>
          <w:sz w:val="24"/>
          <w:szCs w:val="24"/>
        </w:rPr>
        <w:t>Development</w:t>
      </w:r>
      <w:r w:rsidRPr="00AF4CC9">
        <w:rPr>
          <w:sz w:val="24"/>
          <w:szCs w:val="24"/>
        </w:rPr>
        <w:t xml:space="preserve"> program. The service representative must become familiar with the provisions of the memorandum of Understanding (MOU) established between the one-Stop partners and the One-Stop operator. The MOU should define the type of supportive services available from each participating partner. </w:t>
      </w:r>
    </w:p>
    <w:p w:rsidR="00BA19BD" w:rsidRPr="00AF4CC9" w:rsidRDefault="00BA19BD">
      <w:pPr>
        <w:rPr>
          <w:sz w:val="24"/>
          <w:szCs w:val="24"/>
        </w:rPr>
      </w:pPr>
      <w:r w:rsidRPr="00AF4CC9">
        <w:rPr>
          <w:sz w:val="24"/>
          <w:szCs w:val="24"/>
        </w:rPr>
        <w:t>Supportive services do have cost and time limitations, imposed by the Greater Nebraska Administrative Board, but in some instances may be exceeded with the approval of the Greater Nebraska Administrative Entity. The request for approval to exceed the limitations must be completely justified.</w:t>
      </w:r>
    </w:p>
    <w:p w:rsidR="00BA19BD" w:rsidRPr="00AF4CC9" w:rsidRDefault="00BA19BD">
      <w:pPr>
        <w:rPr>
          <w:sz w:val="24"/>
          <w:szCs w:val="24"/>
        </w:rPr>
      </w:pPr>
      <w:r w:rsidRPr="00AF4CC9">
        <w:rPr>
          <w:sz w:val="24"/>
          <w:szCs w:val="24"/>
        </w:rPr>
        <w:t xml:space="preserve">A key point in making a decision to provide supportive services is the question of whether or not the services are necessary to enable the client to participate in programs provided by the Workforce Innovation and Opportunity Act. Determinations to provide supportive services, which do not meet this criteria, will in all likelihood be questioned by an audit review or monitor review. In all cases, the service representative must fully document their determination and the determination must be a part of the client file. </w:t>
      </w:r>
    </w:p>
    <w:p w:rsidR="00F36444" w:rsidRPr="00AF4CC9" w:rsidRDefault="00F36444" w:rsidP="00BA19BD">
      <w:pPr>
        <w:pStyle w:val="Heading1"/>
        <w:rPr>
          <w:rFonts w:asciiTheme="minorHAnsi" w:hAnsiTheme="minorHAnsi"/>
          <w:color w:val="FF0000"/>
          <w:w w:val="105"/>
          <w:sz w:val="24"/>
          <w:szCs w:val="24"/>
          <w:u w:val="single"/>
        </w:rPr>
      </w:pPr>
    </w:p>
    <w:p w:rsidR="00BA19BD" w:rsidRPr="00AF4CC9" w:rsidRDefault="00BA19BD" w:rsidP="00BA19BD">
      <w:pPr>
        <w:pStyle w:val="Heading1"/>
        <w:rPr>
          <w:rFonts w:asciiTheme="minorHAnsi" w:hAnsiTheme="minorHAnsi"/>
          <w:color w:val="FF0000"/>
          <w:w w:val="105"/>
          <w:sz w:val="24"/>
          <w:szCs w:val="24"/>
          <w:u w:val="single"/>
        </w:rPr>
      </w:pPr>
      <w:r w:rsidRPr="00AF4CC9">
        <w:rPr>
          <w:rFonts w:asciiTheme="minorHAnsi" w:hAnsiTheme="minorHAnsi"/>
          <w:color w:val="FF0000"/>
          <w:w w:val="105"/>
          <w:sz w:val="24"/>
          <w:szCs w:val="24"/>
          <w:u w:val="single"/>
        </w:rPr>
        <w:t>PROCEDURE FOR PROVIDING SUPPORTIVE SERVICES</w:t>
      </w:r>
    </w:p>
    <w:p w:rsidR="00BA19BD" w:rsidRPr="00AF4CC9" w:rsidRDefault="00BA19BD" w:rsidP="00BA19BD">
      <w:pPr>
        <w:pStyle w:val="BodyText"/>
        <w:ind w:left="205" w:right="307" w:hanging="15"/>
        <w:rPr>
          <w:rFonts w:asciiTheme="minorHAnsi" w:hAnsiTheme="minorHAnsi"/>
          <w:w w:val="105"/>
          <w:sz w:val="24"/>
          <w:szCs w:val="24"/>
        </w:rPr>
      </w:pPr>
    </w:p>
    <w:p w:rsidR="00BA19BD" w:rsidRPr="00AF4CC9" w:rsidRDefault="00BA19BD" w:rsidP="00BA19BD">
      <w:pPr>
        <w:pStyle w:val="Style1"/>
        <w:ind w:left="0" w:right="0"/>
        <w:rPr>
          <w:rFonts w:asciiTheme="minorHAnsi" w:hAnsiTheme="minorHAnsi"/>
          <w:b/>
          <w:sz w:val="24"/>
          <w:szCs w:val="24"/>
        </w:rPr>
      </w:pPr>
      <w:r w:rsidRPr="00AF4CC9">
        <w:rPr>
          <w:rFonts w:asciiTheme="minorHAnsi" w:hAnsiTheme="minorHAnsi"/>
          <w:b/>
          <w:sz w:val="24"/>
          <w:szCs w:val="24"/>
        </w:rPr>
        <w:t>Purpose</w:t>
      </w:r>
    </w:p>
    <w:p w:rsidR="00BA19BD" w:rsidRPr="00AF4CC9" w:rsidRDefault="00BA19BD" w:rsidP="00BA19BD">
      <w:pPr>
        <w:pStyle w:val="BodyText"/>
        <w:ind w:left="205" w:right="307" w:hanging="15"/>
        <w:rPr>
          <w:rFonts w:asciiTheme="minorHAnsi" w:hAnsiTheme="minorHAnsi"/>
          <w:w w:val="105"/>
          <w:sz w:val="24"/>
          <w:szCs w:val="24"/>
        </w:rPr>
      </w:pPr>
    </w:p>
    <w:p w:rsidR="00BA19BD" w:rsidRPr="00AF4CC9" w:rsidRDefault="00BA19BD" w:rsidP="00BA19BD">
      <w:pPr>
        <w:rPr>
          <w:rFonts w:eastAsia="Arial" w:cs="Arial"/>
          <w:sz w:val="24"/>
          <w:szCs w:val="24"/>
        </w:rPr>
      </w:pPr>
      <w:r w:rsidRPr="00AF4CC9">
        <w:rPr>
          <w:rFonts w:eastAsia="Arial" w:cs="Arial"/>
          <w:sz w:val="24"/>
          <w:szCs w:val="24"/>
        </w:rPr>
        <w:t>To establish local policy for providing supportive services, and identify the requirements One Stop operators and service providers must adhere to in providing such services to adults, dislocated workers, and youth.</w:t>
      </w:r>
    </w:p>
    <w:p w:rsidR="00AF4CC9" w:rsidRDefault="00AF4CC9" w:rsidP="00BA19BD">
      <w:pPr>
        <w:pStyle w:val="Style1"/>
        <w:ind w:left="0" w:right="0"/>
        <w:rPr>
          <w:rFonts w:asciiTheme="minorHAnsi" w:hAnsiTheme="minorHAnsi"/>
          <w:b/>
          <w:sz w:val="24"/>
          <w:szCs w:val="24"/>
        </w:rPr>
      </w:pPr>
    </w:p>
    <w:p w:rsidR="00AF4CC9" w:rsidRDefault="00AF4CC9" w:rsidP="00BA19BD">
      <w:pPr>
        <w:pStyle w:val="Style1"/>
        <w:ind w:left="0" w:right="0"/>
        <w:rPr>
          <w:rFonts w:asciiTheme="minorHAnsi" w:hAnsiTheme="minorHAnsi"/>
          <w:b/>
          <w:sz w:val="24"/>
          <w:szCs w:val="24"/>
        </w:rPr>
      </w:pPr>
    </w:p>
    <w:p w:rsidR="00AF4CC9" w:rsidRDefault="00AF4CC9" w:rsidP="00BA19BD">
      <w:pPr>
        <w:pStyle w:val="Style1"/>
        <w:ind w:left="0" w:right="0"/>
        <w:rPr>
          <w:rFonts w:asciiTheme="minorHAnsi" w:hAnsiTheme="minorHAnsi"/>
          <w:b/>
          <w:sz w:val="24"/>
          <w:szCs w:val="24"/>
        </w:rPr>
      </w:pPr>
    </w:p>
    <w:p w:rsidR="00AF4CC9" w:rsidRDefault="00AF4CC9" w:rsidP="00BA19BD">
      <w:pPr>
        <w:pStyle w:val="Style1"/>
        <w:ind w:left="0" w:right="0"/>
        <w:rPr>
          <w:rFonts w:asciiTheme="minorHAnsi" w:hAnsiTheme="minorHAnsi"/>
          <w:b/>
          <w:sz w:val="24"/>
          <w:szCs w:val="24"/>
        </w:rPr>
      </w:pPr>
    </w:p>
    <w:p w:rsidR="00AF4CC9" w:rsidRDefault="00AF4CC9" w:rsidP="00BA19BD">
      <w:pPr>
        <w:pStyle w:val="Style1"/>
        <w:ind w:left="0" w:right="0"/>
        <w:rPr>
          <w:rFonts w:asciiTheme="minorHAnsi" w:hAnsiTheme="minorHAnsi"/>
          <w:b/>
          <w:sz w:val="24"/>
          <w:szCs w:val="24"/>
        </w:rPr>
      </w:pPr>
    </w:p>
    <w:p w:rsidR="00BA19BD" w:rsidRPr="00AF4CC9" w:rsidRDefault="00BA19BD" w:rsidP="00BA19BD">
      <w:pPr>
        <w:pStyle w:val="Style1"/>
        <w:ind w:left="0" w:right="0"/>
        <w:rPr>
          <w:rFonts w:asciiTheme="minorHAnsi" w:hAnsiTheme="minorHAnsi"/>
          <w:b/>
          <w:sz w:val="24"/>
          <w:szCs w:val="24"/>
        </w:rPr>
      </w:pPr>
      <w:r w:rsidRPr="00AF4CC9">
        <w:rPr>
          <w:rFonts w:asciiTheme="minorHAnsi" w:hAnsiTheme="minorHAnsi"/>
          <w:b/>
          <w:sz w:val="24"/>
          <w:szCs w:val="24"/>
        </w:rPr>
        <w:lastRenderedPageBreak/>
        <w:t>Policy</w:t>
      </w:r>
    </w:p>
    <w:p w:rsidR="00F36444" w:rsidRPr="00AF4CC9" w:rsidRDefault="00F36444" w:rsidP="00BA19BD">
      <w:pPr>
        <w:pStyle w:val="Style1"/>
        <w:ind w:left="0" w:right="0"/>
        <w:rPr>
          <w:rFonts w:asciiTheme="minorHAnsi" w:hAnsiTheme="minorHAnsi"/>
          <w:b/>
          <w:sz w:val="24"/>
          <w:szCs w:val="24"/>
        </w:rPr>
      </w:pPr>
    </w:p>
    <w:p w:rsidR="00F36444" w:rsidRPr="00AF4CC9" w:rsidRDefault="00F36444" w:rsidP="00F36444">
      <w:pPr>
        <w:rPr>
          <w:sz w:val="24"/>
          <w:szCs w:val="24"/>
        </w:rPr>
      </w:pPr>
      <w:r w:rsidRPr="00AF4CC9">
        <w:rPr>
          <w:sz w:val="24"/>
          <w:szCs w:val="24"/>
          <w:u w:val="thick"/>
        </w:rPr>
        <w:t>General Provisions:</w:t>
      </w:r>
    </w:p>
    <w:p w:rsidR="00F36444" w:rsidRPr="00AF4CC9" w:rsidRDefault="00F36444" w:rsidP="00F36444">
      <w:pPr>
        <w:numPr>
          <w:ilvl w:val="0"/>
          <w:numId w:val="3"/>
        </w:numPr>
        <w:rPr>
          <w:sz w:val="24"/>
          <w:szCs w:val="24"/>
        </w:rPr>
      </w:pPr>
      <w:r w:rsidRPr="00AF4CC9">
        <w:rPr>
          <w:sz w:val="24"/>
          <w:szCs w:val="24"/>
        </w:rPr>
        <w:t>Supportive services may only be provided to clients who are participating in intensive or training services and are unable to obtain the services through other programs who provide such services.</w:t>
      </w:r>
    </w:p>
    <w:p w:rsidR="00F36444" w:rsidRPr="00AF4CC9" w:rsidRDefault="00F36444" w:rsidP="00F36444">
      <w:pPr>
        <w:numPr>
          <w:ilvl w:val="0"/>
          <w:numId w:val="3"/>
        </w:numPr>
        <w:rPr>
          <w:sz w:val="24"/>
          <w:szCs w:val="24"/>
        </w:rPr>
      </w:pPr>
      <w:r w:rsidRPr="00AF4CC9">
        <w:rPr>
          <w:sz w:val="24"/>
          <w:szCs w:val="24"/>
        </w:rPr>
        <w:t xml:space="preserve">Supportive services may only be provided after it has been determined such services are necessary to enable the client to participate in Workforce </w:t>
      </w:r>
      <w:r w:rsidR="00C670C6" w:rsidRPr="00AF4CC9">
        <w:rPr>
          <w:sz w:val="24"/>
          <w:szCs w:val="24"/>
        </w:rPr>
        <w:t>Innovation and Opportunity</w:t>
      </w:r>
      <w:r w:rsidRPr="00AF4CC9">
        <w:rPr>
          <w:sz w:val="24"/>
          <w:szCs w:val="24"/>
        </w:rPr>
        <w:t xml:space="preserve"> Act activities.</w:t>
      </w:r>
    </w:p>
    <w:p w:rsidR="00F36444" w:rsidRPr="00AF4CC9" w:rsidRDefault="00F36444" w:rsidP="00F36444">
      <w:pPr>
        <w:numPr>
          <w:ilvl w:val="0"/>
          <w:numId w:val="3"/>
        </w:numPr>
        <w:rPr>
          <w:sz w:val="24"/>
          <w:szCs w:val="24"/>
        </w:rPr>
      </w:pPr>
      <w:r w:rsidRPr="00AF4CC9">
        <w:rPr>
          <w:sz w:val="24"/>
          <w:szCs w:val="24"/>
        </w:rPr>
        <w:t>Supportive services may only be provided after it has been determined the client is unable to obtain supportive services through other programs providing such services.</w:t>
      </w:r>
    </w:p>
    <w:p w:rsidR="00F36444" w:rsidRPr="00AF4CC9" w:rsidRDefault="00F36444" w:rsidP="00F36444">
      <w:pPr>
        <w:rPr>
          <w:sz w:val="24"/>
          <w:szCs w:val="24"/>
        </w:rPr>
      </w:pPr>
      <w:r w:rsidRPr="00AF4CC9">
        <w:rPr>
          <w:sz w:val="24"/>
          <w:szCs w:val="24"/>
          <w:u w:val="thick"/>
        </w:rPr>
        <w:t>Assessment of Need and Documentation</w:t>
      </w:r>
      <w:r w:rsidRPr="00AF4CC9">
        <w:rPr>
          <w:sz w:val="24"/>
          <w:szCs w:val="24"/>
        </w:rPr>
        <w:t>:  The service provider and/or One Stop operator must thoroughly assess the client's need for supportive services, document the results of the assessment, and document the provision of such services through vendor receipts, invoices, voucher, etc.</w:t>
      </w:r>
    </w:p>
    <w:p w:rsidR="00F36444" w:rsidRPr="00AF4CC9" w:rsidRDefault="00F36444" w:rsidP="00F36444">
      <w:pPr>
        <w:rPr>
          <w:sz w:val="24"/>
          <w:szCs w:val="24"/>
        </w:rPr>
      </w:pPr>
      <w:r w:rsidRPr="00AF4CC9">
        <w:rPr>
          <w:sz w:val="24"/>
          <w:szCs w:val="24"/>
        </w:rPr>
        <w:t>Additionally the participant and case manager must develop a plan on how the participant will support a part or all of the expense for supportive services issues once the initial assistance has been given to the participant. For example: It would not be prudent for the program to pay for gasoline expense for two years while the participant is in training.</w:t>
      </w:r>
    </w:p>
    <w:p w:rsidR="00F36444" w:rsidRPr="00AF4CC9" w:rsidRDefault="00F36444" w:rsidP="00F36444">
      <w:pPr>
        <w:rPr>
          <w:sz w:val="24"/>
          <w:szCs w:val="24"/>
        </w:rPr>
      </w:pPr>
      <w:r w:rsidRPr="00AF4CC9">
        <w:rPr>
          <w:sz w:val="24"/>
          <w:szCs w:val="24"/>
          <w:u w:val="thick"/>
        </w:rPr>
        <w:t xml:space="preserve">Coordination and Referral: </w:t>
      </w:r>
      <w:r w:rsidRPr="00AF4CC9">
        <w:rPr>
          <w:sz w:val="24"/>
          <w:szCs w:val="24"/>
        </w:rPr>
        <w:t>The case manager must document the efforts made to contact and coordinate with the available partners and, if applicable, the inability of such partners to provide the needed supportive service.</w:t>
      </w:r>
    </w:p>
    <w:p w:rsidR="00F36444" w:rsidRPr="00AF4CC9" w:rsidRDefault="00F36444" w:rsidP="00F36444">
      <w:pPr>
        <w:rPr>
          <w:sz w:val="24"/>
          <w:szCs w:val="24"/>
        </w:rPr>
      </w:pPr>
      <w:r w:rsidRPr="00AF4CC9">
        <w:rPr>
          <w:sz w:val="24"/>
          <w:szCs w:val="24"/>
        </w:rPr>
        <w:t>One Stop operators, service providers, and One Stop partners shall identify in the Memorandum of Understanding (MOU) the process utilized to ensure resource and service coordination regarding supportive services including how supportive services will be funded when they are not available from other sources.  In addition, the MOU must describe how accurate information will be provided on the availability of such services in the local area. All Community Partner MOU's are negotiated by the Career Center Manager and should include language on referral procedures as necessary.</w:t>
      </w:r>
    </w:p>
    <w:p w:rsidR="00F36444" w:rsidRPr="00AF4CC9" w:rsidRDefault="00F36444" w:rsidP="00F36444">
      <w:pPr>
        <w:rPr>
          <w:sz w:val="24"/>
          <w:szCs w:val="24"/>
        </w:rPr>
      </w:pPr>
      <w:r w:rsidRPr="00AF4CC9">
        <w:rPr>
          <w:sz w:val="24"/>
          <w:szCs w:val="24"/>
          <w:u w:val="thick"/>
        </w:rPr>
        <w:t xml:space="preserve">Time Limitations: </w:t>
      </w:r>
      <w:r w:rsidRPr="00AF4CC9">
        <w:rPr>
          <w:sz w:val="24"/>
          <w:szCs w:val="24"/>
        </w:rPr>
        <w:t>Supportive services may be provided during participa</w:t>
      </w:r>
      <w:r w:rsidR="008314C2" w:rsidRPr="00AF4CC9">
        <w:rPr>
          <w:sz w:val="24"/>
          <w:szCs w:val="24"/>
        </w:rPr>
        <w:t>tion in the Workforce Development</w:t>
      </w:r>
      <w:r w:rsidRPr="00AF4CC9">
        <w:rPr>
          <w:sz w:val="24"/>
          <w:szCs w:val="24"/>
        </w:rPr>
        <w:t xml:space="preserve"> program and up to six months after the date on which the client completes the program.</w:t>
      </w:r>
    </w:p>
    <w:p w:rsidR="00F36444" w:rsidRPr="00AF4CC9" w:rsidRDefault="00F36444" w:rsidP="00F36444">
      <w:pPr>
        <w:rPr>
          <w:sz w:val="24"/>
          <w:szCs w:val="24"/>
        </w:rPr>
      </w:pPr>
      <w:r w:rsidRPr="00AF4CC9">
        <w:rPr>
          <w:sz w:val="24"/>
          <w:szCs w:val="24"/>
          <w:u w:val="thick"/>
        </w:rPr>
        <w:t xml:space="preserve">Cost Limitations:  </w:t>
      </w:r>
      <w:r w:rsidRPr="00AF4CC9">
        <w:rPr>
          <w:sz w:val="24"/>
          <w:szCs w:val="24"/>
        </w:rPr>
        <w:t xml:space="preserve">The cost of reimbursement or direct payment to clients for supportive services shall be the actual costs incurred up to the maximum amount allowed.  Costs must be reasonable and competitively priced.  An effort must be made by the service provider or One Stop operator to make this determination.  The cost limitation includes all supportive services </w:t>
      </w:r>
      <w:r w:rsidRPr="00AF4CC9">
        <w:rPr>
          <w:sz w:val="24"/>
          <w:szCs w:val="24"/>
        </w:rPr>
        <w:lastRenderedPageBreak/>
        <w:t>provided during the client's enrollment and those supportive services provided to the client as part of follow up after exit.</w:t>
      </w:r>
    </w:p>
    <w:p w:rsidR="00F36444" w:rsidRPr="00AF4CC9" w:rsidRDefault="00F36444" w:rsidP="00F36444">
      <w:pPr>
        <w:rPr>
          <w:sz w:val="24"/>
          <w:szCs w:val="24"/>
        </w:rPr>
      </w:pPr>
      <w:r w:rsidRPr="00AF4CC9">
        <w:rPr>
          <w:sz w:val="24"/>
          <w:szCs w:val="24"/>
          <w:u w:val="thick"/>
        </w:rPr>
        <w:t>Approval A</w:t>
      </w:r>
      <w:r w:rsidR="00246582">
        <w:rPr>
          <w:sz w:val="24"/>
          <w:szCs w:val="24"/>
          <w:u w:val="thick"/>
        </w:rPr>
        <w:t>uthority</w:t>
      </w:r>
      <w:r w:rsidRPr="00AF4CC9">
        <w:rPr>
          <w:sz w:val="24"/>
          <w:szCs w:val="24"/>
        </w:rPr>
        <w:t>:  Except in emergency situations, the case manager must receive prior approval from the One-Stop Manager for all supportive service requests (Financial Assistance Voucher).</w:t>
      </w:r>
    </w:p>
    <w:p w:rsidR="00F36444" w:rsidRPr="00AF4CC9" w:rsidRDefault="00F36444" w:rsidP="00F36444">
      <w:pPr>
        <w:rPr>
          <w:sz w:val="24"/>
          <w:szCs w:val="24"/>
        </w:rPr>
      </w:pPr>
      <w:r w:rsidRPr="00AF4CC9">
        <w:rPr>
          <w:sz w:val="24"/>
          <w:szCs w:val="24"/>
        </w:rPr>
        <w:t>Supportive services are not automatic or guaranteed; they are based on participant need and necessity to enable the client to participate in approved programs and only when similar services are unavailable within the community.  The client need and necessity of the supportive service must be documented in the case file; and for clients enrolled in intensive or training services, must be included in the Individual Employment Plan (IEP) or Individual Service Strategy (ISS).</w:t>
      </w:r>
    </w:p>
    <w:p w:rsidR="00F36444" w:rsidRPr="00AF4CC9" w:rsidRDefault="00F36444" w:rsidP="00F36444">
      <w:pPr>
        <w:rPr>
          <w:sz w:val="24"/>
          <w:szCs w:val="24"/>
        </w:rPr>
      </w:pPr>
      <w:r w:rsidRPr="00AF4CC9">
        <w:rPr>
          <w:sz w:val="24"/>
          <w:szCs w:val="24"/>
          <w:u w:val="thick"/>
        </w:rPr>
        <w:t>Cost Considerations</w:t>
      </w:r>
      <w:r w:rsidRPr="00AF4CC9">
        <w:rPr>
          <w:sz w:val="24"/>
          <w:szCs w:val="24"/>
        </w:rPr>
        <w:t>:  The cost of supportive services must be both reasonable and competitive in price.  When multiple options are available for receiving supportive services, documentation must show a reasonable effort was made to determine and choose the lowest, competitively priced service available.</w:t>
      </w:r>
    </w:p>
    <w:p w:rsidR="00F36444" w:rsidRPr="00AF4CC9" w:rsidRDefault="00F36444" w:rsidP="00F36444">
      <w:pPr>
        <w:rPr>
          <w:sz w:val="24"/>
          <w:szCs w:val="24"/>
        </w:rPr>
      </w:pPr>
      <w:r w:rsidRPr="00AF4CC9">
        <w:rPr>
          <w:sz w:val="24"/>
          <w:szCs w:val="24"/>
          <w:u w:val="thick"/>
        </w:rPr>
        <w:t xml:space="preserve">Payment Procedures:  </w:t>
      </w:r>
      <w:r w:rsidRPr="00AF4CC9">
        <w:rPr>
          <w:sz w:val="24"/>
          <w:szCs w:val="24"/>
        </w:rPr>
        <w:t>Include the prior approval of the One-Stop Manager (Financial Assistance Voucher) and the original bill/invoice, mileage log, etc. from the entity providing the supportive service including the name of the client receiving the service and the reason for the service.</w:t>
      </w:r>
    </w:p>
    <w:p w:rsidR="00F36444" w:rsidRPr="00AF4CC9" w:rsidRDefault="00F36444" w:rsidP="00F36444">
      <w:pPr>
        <w:rPr>
          <w:sz w:val="24"/>
          <w:szCs w:val="24"/>
        </w:rPr>
      </w:pPr>
      <w:r w:rsidRPr="00AF4CC9">
        <w:rPr>
          <w:sz w:val="24"/>
          <w:szCs w:val="24"/>
          <w:u w:val="thick"/>
        </w:rPr>
        <w:t>Approval to Exceed Limitation</w:t>
      </w:r>
      <w:r w:rsidRPr="00AF4CC9">
        <w:rPr>
          <w:sz w:val="24"/>
          <w:szCs w:val="24"/>
        </w:rPr>
        <w:t>:  In some instances, there may be a need to exceed the limitations specified by this policy.  In such cases, the service provider and/or One Stop operator may approve actions to exceed established limitations.  It is up to the Regional Manager to determine what documentation must accompany the request.</w:t>
      </w:r>
    </w:p>
    <w:p w:rsidR="00F36444" w:rsidRPr="00AF4CC9" w:rsidRDefault="00F36444" w:rsidP="00F36444">
      <w:pPr>
        <w:rPr>
          <w:sz w:val="24"/>
          <w:szCs w:val="24"/>
        </w:rPr>
      </w:pPr>
      <w:r w:rsidRPr="00AF4CC9">
        <w:rPr>
          <w:sz w:val="24"/>
          <w:szCs w:val="24"/>
        </w:rPr>
        <w:t>In other instances, Greater Nebraska Administrative Entity approval is required.  The request will be forwarded to the Greater Nebraska Administrative Entity for approval and will include:</w:t>
      </w:r>
    </w:p>
    <w:p w:rsidR="00F36444" w:rsidRPr="00AF4CC9" w:rsidRDefault="00F36444" w:rsidP="00F36444">
      <w:pPr>
        <w:numPr>
          <w:ilvl w:val="0"/>
          <w:numId w:val="3"/>
        </w:numPr>
        <w:rPr>
          <w:sz w:val="24"/>
          <w:szCs w:val="24"/>
        </w:rPr>
      </w:pPr>
      <w:r w:rsidRPr="00AF4CC9">
        <w:rPr>
          <w:sz w:val="24"/>
          <w:szCs w:val="24"/>
        </w:rPr>
        <w:t>Client Name and Social Security Number and;</w:t>
      </w:r>
    </w:p>
    <w:p w:rsidR="00F36444" w:rsidRPr="00AF4CC9" w:rsidRDefault="00F36444" w:rsidP="00F36444">
      <w:pPr>
        <w:numPr>
          <w:ilvl w:val="0"/>
          <w:numId w:val="3"/>
        </w:numPr>
        <w:rPr>
          <w:sz w:val="24"/>
          <w:szCs w:val="24"/>
        </w:rPr>
      </w:pPr>
      <w:r w:rsidRPr="00AF4CC9">
        <w:rPr>
          <w:sz w:val="24"/>
          <w:szCs w:val="24"/>
        </w:rPr>
        <w:t>Identification of the additional supportive services needed and approximate cost and;</w:t>
      </w:r>
    </w:p>
    <w:p w:rsidR="00F36444" w:rsidRPr="00AF4CC9" w:rsidRDefault="00F36444" w:rsidP="00F36444">
      <w:pPr>
        <w:numPr>
          <w:ilvl w:val="0"/>
          <w:numId w:val="3"/>
        </w:numPr>
        <w:rPr>
          <w:sz w:val="24"/>
          <w:szCs w:val="24"/>
        </w:rPr>
      </w:pPr>
      <w:r w:rsidRPr="00AF4CC9">
        <w:rPr>
          <w:sz w:val="24"/>
          <w:szCs w:val="24"/>
        </w:rPr>
        <w:t>Justification for request, including documentation of need and;</w:t>
      </w:r>
    </w:p>
    <w:p w:rsidR="00F36444" w:rsidRPr="00AF4CC9" w:rsidRDefault="00F36444" w:rsidP="00F36444">
      <w:pPr>
        <w:numPr>
          <w:ilvl w:val="0"/>
          <w:numId w:val="3"/>
        </w:numPr>
        <w:rPr>
          <w:sz w:val="24"/>
          <w:szCs w:val="24"/>
        </w:rPr>
      </w:pPr>
      <w:r w:rsidRPr="00AF4CC9">
        <w:rPr>
          <w:sz w:val="24"/>
          <w:szCs w:val="24"/>
        </w:rPr>
        <w:t>Current client activity status.</w:t>
      </w:r>
    </w:p>
    <w:p w:rsidR="00F36444" w:rsidRPr="00AF4CC9" w:rsidRDefault="00F36444" w:rsidP="00F36444">
      <w:pPr>
        <w:rPr>
          <w:sz w:val="24"/>
          <w:szCs w:val="24"/>
        </w:rPr>
      </w:pPr>
      <w:r w:rsidRPr="00AF4CC9">
        <w:rPr>
          <w:sz w:val="24"/>
          <w:szCs w:val="24"/>
        </w:rPr>
        <w:t>It is not feasible for this policy and corresponding chart to describe all potential supportive services that can be delivered in Greater Nebraska. If a staff member encounters a situation requiring supportive service and the service is not addressed in this policy, the staff member is to follow the steps described above to request Administrative Entity approval.</w:t>
      </w:r>
    </w:p>
    <w:p w:rsidR="00AF4CC9" w:rsidRDefault="00F36444" w:rsidP="00AF4CC9">
      <w:pPr>
        <w:rPr>
          <w:sz w:val="24"/>
          <w:szCs w:val="24"/>
        </w:rPr>
      </w:pPr>
      <w:r w:rsidRPr="00AF4CC9">
        <w:rPr>
          <w:sz w:val="24"/>
          <w:szCs w:val="24"/>
        </w:rPr>
        <w:t>The Administrative Entity will evaluate the request on a case-by-case basis and either approve or disapprove the request for additional supportive services within seven (7) working days.</w:t>
      </w:r>
    </w:p>
    <w:p w:rsidR="00F36444" w:rsidRPr="00AF4CC9" w:rsidRDefault="00F36444" w:rsidP="00AF4CC9">
      <w:pPr>
        <w:rPr>
          <w:b/>
          <w:sz w:val="24"/>
          <w:szCs w:val="24"/>
        </w:rPr>
      </w:pPr>
      <w:r w:rsidRPr="00AF4CC9">
        <w:rPr>
          <w:b/>
          <w:color w:val="FF0000"/>
          <w:w w:val="105"/>
          <w:sz w:val="24"/>
          <w:szCs w:val="24"/>
          <w:u w:val="single"/>
        </w:rPr>
        <w:lastRenderedPageBreak/>
        <w:t>PROCEDURE FOR TYPES OF SUPPORTIVE SERVICES</w:t>
      </w:r>
    </w:p>
    <w:p w:rsidR="00F36444" w:rsidRPr="00AF4CC9" w:rsidRDefault="00F36444" w:rsidP="00F36444">
      <w:pPr>
        <w:pStyle w:val="BodyText"/>
        <w:ind w:left="205" w:right="307" w:hanging="15"/>
        <w:rPr>
          <w:rFonts w:asciiTheme="minorHAnsi" w:hAnsiTheme="minorHAnsi"/>
          <w:w w:val="105"/>
          <w:sz w:val="24"/>
          <w:szCs w:val="24"/>
        </w:rPr>
      </w:pPr>
    </w:p>
    <w:p w:rsidR="00F36444" w:rsidRPr="00AF4CC9" w:rsidRDefault="00F36444" w:rsidP="00F36444">
      <w:pPr>
        <w:pStyle w:val="Style1"/>
        <w:ind w:left="0" w:right="0"/>
        <w:rPr>
          <w:rFonts w:asciiTheme="minorHAnsi" w:hAnsiTheme="minorHAnsi"/>
          <w:b/>
          <w:sz w:val="24"/>
          <w:szCs w:val="24"/>
        </w:rPr>
      </w:pPr>
      <w:r w:rsidRPr="00AF4CC9">
        <w:rPr>
          <w:rFonts w:asciiTheme="minorHAnsi" w:hAnsiTheme="minorHAnsi"/>
          <w:b/>
          <w:sz w:val="24"/>
          <w:szCs w:val="24"/>
        </w:rPr>
        <w:t>PURPOSE</w:t>
      </w:r>
    </w:p>
    <w:p w:rsidR="00F36444" w:rsidRPr="00AF4CC9" w:rsidRDefault="00F36444" w:rsidP="00F36444">
      <w:pPr>
        <w:pStyle w:val="Style1"/>
        <w:ind w:left="0" w:right="0"/>
        <w:rPr>
          <w:rFonts w:asciiTheme="minorHAnsi" w:hAnsiTheme="minorHAnsi"/>
          <w:b/>
          <w:sz w:val="24"/>
          <w:szCs w:val="24"/>
        </w:rPr>
      </w:pPr>
    </w:p>
    <w:p w:rsidR="00F36444" w:rsidRPr="00AF4CC9" w:rsidRDefault="00F36444" w:rsidP="00F36444">
      <w:pPr>
        <w:rPr>
          <w:sz w:val="24"/>
          <w:szCs w:val="24"/>
        </w:rPr>
      </w:pPr>
      <w:r w:rsidRPr="00AF4CC9">
        <w:rPr>
          <w:sz w:val="24"/>
          <w:szCs w:val="24"/>
        </w:rPr>
        <w:t>To identify the different types of supportive services allowed to Greater Nebraska WI</w:t>
      </w:r>
      <w:r w:rsidR="00C670C6" w:rsidRPr="00AF4CC9">
        <w:rPr>
          <w:sz w:val="24"/>
          <w:szCs w:val="24"/>
        </w:rPr>
        <w:t>O</w:t>
      </w:r>
      <w:r w:rsidRPr="00AF4CC9">
        <w:rPr>
          <w:sz w:val="24"/>
          <w:szCs w:val="24"/>
        </w:rPr>
        <w:t>A clients.</w:t>
      </w:r>
    </w:p>
    <w:p w:rsidR="00F36444" w:rsidRPr="00AF4CC9" w:rsidRDefault="00F36444" w:rsidP="00F36444">
      <w:pPr>
        <w:pStyle w:val="Style1"/>
        <w:ind w:left="0" w:right="0"/>
        <w:rPr>
          <w:rFonts w:asciiTheme="minorHAnsi" w:hAnsiTheme="minorHAnsi"/>
          <w:b/>
          <w:sz w:val="24"/>
          <w:szCs w:val="24"/>
        </w:rPr>
      </w:pPr>
      <w:r w:rsidRPr="00AF4CC9">
        <w:rPr>
          <w:rFonts w:asciiTheme="minorHAnsi" w:hAnsiTheme="minorHAnsi"/>
          <w:b/>
          <w:sz w:val="24"/>
          <w:szCs w:val="24"/>
        </w:rPr>
        <w:t>POLICY</w:t>
      </w:r>
    </w:p>
    <w:p w:rsidR="00F36444" w:rsidRPr="00AF4CC9" w:rsidRDefault="00F36444" w:rsidP="00F36444">
      <w:pPr>
        <w:rPr>
          <w:sz w:val="24"/>
          <w:szCs w:val="24"/>
        </w:rPr>
      </w:pPr>
      <w:r w:rsidRPr="00AF4CC9">
        <w:rPr>
          <w:sz w:val="24"/>
          <w:szCs w:val="24"/>
        </w:rPr>
        <w:t>Supportive Services: Assistance for allowable services included, but is not limited to:</w:t>
      </w:r>
    </w:p>
    <w:p w:rsidR="00F36444" w:rsidRPr="00AF4CC9" w:rsidRDefault="00F36444" w:rsidP="00F36444">
      <w:pPr>
        <w:numPr>
          <w:ilvl w:val="0"/>
          <w:numId w:val="3"/>
        </w:numPr>
        <w:rPr>
          <w:sz w:val="24"/>
          <w:szCs w:val="24"/>
        </w:rPr>
      </w:pPr>
      <w:r w:rsidRPr="00AF4CC9">
        <w:rPr>
          <w:sz w:val="24"/>
          <w:szCs w:val="24"/>
        </w:rPr>
        <w:t>Transportation</w:t>
      </w:r>
    </w:p>
    <w:p w:rsidR="00F36444" w:rsidRPr="00AF4CC9" w:rsidRDefault="00F36444" w:rsidP="00F36444">
      <w:pPr>
        <w:numPr>
          <w:ilvl w:val="0"/>
          <w:numId w:val="3"/>
        </w:numPr>
        <w:rPr>
          <w:sz w:val="24"/>
          <w:szCs w:val="24"/>
        </w:rPr>
      </w:pPr>
      <w:r w:rsidRPr="00AF4CC9">
        <w:rPr>
          <w:sz w:val="24"/>
          <w:szCs w:val="24"/>
        </w:rPr>
        <w:t>Childcare</w:t>
      </w:r>
    </w:p>
    <w:p w:rsidR="00F36444" w:rsidRPr="00AF4CC9" w:rsidRDefault="00F36444" w:rsidP="00F36444">
      <w:pPr>
        <w:numPr>
          <w:ilvl w:val="0"/>
          <w:numId w:val="3"/>
        </w:numPr>
        <w:rPr>
          <w:sz w:val="24"/>
          <w:szCs w:val="24"/>
        </w:rPr>
      </w:pPr>
      <w:r w:rsidRPr="00AF4CC9">
        <w:rPr>
          <w:sz w:val="24"/>
          <w:szCs w:val="24"/>
        </w:rPr>
        <w:t>Housing</w:t>
      </w:r>
    </w:p>
    <w:p w:rsidR="00F36444" w:rsidRPr="00AF4CC9" w:rsidRDefault="00F36444" w:rsidP="00F36444">
      <w:pPr>
        <w:numPr>
          <w:ilvl w:val="0"/>
          <w:numId w:val="3"/>
        </w:numPr>
        <w:rPr>
          <w:sz w:val="24"/>
          <w:szCs w:val="24"/>
        </w:rPr>
      </w:pPr>
      <w:r w:rsidRPr="00AF4CC9">
        <w:rPr>
          <w:sz w:val="24"/>
          <w:szCs w:val="24"/>
        </w:rPr>
        <w:t>Dependent care</w:t>
      </w:r>
    </w:p>
    <w:p w:rsidR="00F36444" w:rsidRPr="00AF4CC9" w:rsidRDefault="00F36444" w:rsidP="00F36444">
      <w:pPr>
        <w:numPr>
          <w:ilvl w:val="0"/>
          <w:numId w:val="3"/>
        </w:numPr>
        <w:rPr>
          <w:sz w:val="24"/>
          <w:szCs w:val="24"/>
        </w:rPr>
      </w:pPr>
      <w:r w:rsidRPr="00AF4CC9">
        <w:rPr>
          <w:sz w:val="24"/>
          <w:szCs w:val="24"/>
        </w:rPr>
        <w:t>Referral to medical services</w:t>
      </w:r>
    </w:p>
    <w:p w:rsidR="00F36444" w:rsidRPr="00AF4CC9" w:rsidRDefault="00F36444" w:rsidP="00F36444">
      <w:pPr>
        <w:numPr>
          <w:ilvl w:val="0"/>
          <w:numId w:val="3"/>
        </w:numPr>
        <w:rPr>
          <w:sz w:val="24"/>
          <w:szCs w:val="24"/>
        </w:rPr>
      </w:pPr>
      <w:r w:rsidRPr="00AF4CC9">
        <w:rPr>
          <w:sz w:val="24"/>
          <w:szCs w:val="24"/>
        </w:rPr>
        <w:t>Need related payments. (Greater Nebraska does not provide this service.)</w:t>
      </w:r>
    </w:p>
    <w:p w:rsidR="00F36444" w:rsidRPr="00AF4CC9" w:rsidRDefault="00F36444" w:rsidP="00F36444">
      <w:pPr>
        <w:numPr>
          <w:ilvl w:val="0"/>
          <w:numId w:val="3"/>
        </w:numPr>
        <w:rPr>
          <w:sz w:val="24"/>
          <w:szCs w:val="24"/>
        </w:rPr>
      </w:pPr>
      <w:r w:rsidRPr="00AF4CC9">
        <w:rPr>
          <w:sz w:val="24"/>
          <w:szCs w:val="24"/>
        </w:rPr>
        <w:t>Protective clothing, eyewear, tools, equipment required to participate in a training program or employment</w:t>
      </w:r>
    </w:p>
    <w:p w:rsidR="00F36444" w:rsidRPr="00AF4CC9" w:rsidRDefault="00F36444" w:rsidP="00F36444">
      <w:pPr>
        <w:rPr>
          <w:sz w:val="24"/>
          <w:szCs w:val="24"/>
        </w:rPr>
      </w:pPr>
      <w:r w:rsidRPr="00AF4CC9">
        <w:rPr>
          <w:sz w:val="24"/>
          <w:szCs w:val="24"/>
        </w:rPr>
        <w:t>Transportation Assistance: Transportation assistance includes costs for items such as: mileage reimbursement, basic car repairs, car liability insurance, bus, or other transportation fares.</w:t>
      </w:r>
    </w:p>
    <w:p w:rsidR="00F36444" w:rsidRPr="00AF4CC9" w:rsidRDefault="00F36444" w:rsidP="00F36444">
      <w:pPr>
        <w:rPr>
          <w:sz w:val="24"/>
          <w:szCs w:val="24"/>
        </w:rPr>
      </w:pPr>
      <w:r w:rsidRPr="00AF4CC9">
        <w:rPr>
          <w:sz w:val="24"/>
          <w:szCs w:val="24"/>
        </w:rPr>
        <w:t>Mileage Reimbursement: Mileage reimbursement is available for clients who must commute to and from a work site or training site for which no other form of transportation is available. "Map" mileage may be used as the basis for payment.</w:t>
      </w:r>
    </w:p>
    <w:p w:rsidR="00F36444" w:rsidRPr="00AF4CC9" w:rsidRDefault="00F36444" w:rsidP="00F36444">
      <w:pPr>
        <w:rPr>
          <w:sz w:val="24"/>
          <w:szCs w:val="24"/>
        </w:rPr>
      </w:pPr>
      <w:r w:rsidRPr="00AF4CC9">
        <w:rPr>
          <w:sz w:val="24"/>
          <w:szCs w:val="24"/>
        </w:rPr>
        <w:t>Basic Car Repair: Supportive service cost for emergency car repairs is authorized. Client must have approval from the service provider or One Stop operator before assistance is provided.</w:t>
      </w:r>
    </w:p>
    <w:p w:rsidR="00F36444" w:rsidRPr="00AF4CC9" w:rsidRDefault="00F36444" w:rsidP="00F36444">
      <w:pPr>
        <w:rPr>
          <w:sz w:val="24"/>
          <w:szCs w:val="24"/>
        </w:rPr>
      </w:pPr>
      <w:r w:rsidRPr="00AF4CC9">
        <w:rPr>
          <w:sz w:val="24"/>
          <w:szCs w:val="24"/>
        </w:rPr>
        <w:t>Bus or Other Transportation:  Assistance for bus tokens, tickets, and cost for other fares (taxi, daily ride with other providers, etc.) is authorized, provided no other form of transportation is available.</w:t>
      </w:r>
    </w:p>
    <w:p w:rsidR="00F36444" w:rsidRPr="00AF4CC9" w:rsidRDefault="00F36444" w:rsidP="00F36444">
      <w:pPr>
        <w:rPr>
          <w:sz w:val="24"/>
          <w:szCs w:val="24"/>
        </w:rPr>
      </w:pPr>
      <w:r w:rsidRPr="00AF4CC9">
        <w:rPr>
          <w:sz w:val="24"/>
          <w:szCs w:val="24"/>
        </w:rPr>
        <w:t xml:space="preserve">Childcare: Childcare assistance may be provided by a licensed day care provider to clients who are not able to participate in Workforce </w:t>
      </w:r>
      <w:r w:rsidR="008314C2" w:rsidRPr="00AF4CC9">
        <w:rPr>
          <w:sz w:val="24"/>
          <w:szCs w:val="24"/>
        </w:rPr>
        <w:t xml:space="preserve">Development </w:t>
      </w:r>
      <w:r w:rsidRPr="00AF4CC9">
        <w:rPr>
          <w:sz w:val="24"/>
          <w:szCs w:val="24"/>
        </w:rPr>
        <w:t>programs without such assistance. This includes clients who are in danger of dropping out or making less than satisfactory progress due to unsatisfactory or unreliable childcare arrangements.</w:t>
      </w:r>
    </w:p>
    <w:p w:rsidR="00F36444" w:rsidRPr="00AF4CC9" w:rsidRDefault="00F36444" w:rsidP="00F36444">
      <w:pPr>
        <w:rPr>
          <w:sz w:val="24"/>
          <w:szCs w:val="24"/>
        </w:rPr>
      </w:pPr>
      <w:r w:rsidRPr="00AF4CC9">
        <w:rPr>
          <w:sz w:val="24"/>
          <w:szCs w:val="24"/>
        </w:rPr>
        <w:t xml:space="preserve">Emergency Housing: Emergency housing assistance may be provided to clients on a one-time basis. The assistance may include cost for rent, temporary housing in a motel/hotel or apartment, utility payments, deposits and relocation expenses.  Since this is a one-time emergency intervention, a plan must be established to ensure the client will be able to meet </w:t>
      </w:r>
      <w:r w:rsidRPr="00AF4CC9">
        <w:rPr>
          <w:sz w:val="24"/>
          <w:szCs w:val="24"/>
        </w:rPr>
        <w:lastRenderedPageBreak/>
        <w:t>long term housing needs. Deposits may only be issued with an understanding between the company and the One Stop operator or service provider that the deposit will be returned to the program and not the participant. If 2 WI</w:t>
      </w:r>
      <w:r w:rsidR="00C670C6" w:rsidRPr="00AF4CC9">
        <w:rPr>
          <w:sz w:val="24"/>
          <w:szCs w:val="24"/>
        </w:rPr>
        <w:t>O</w:t>
      </w:r>
      <w:r w:rsidRPr="00AF4CC9">
        <w:rPr>
          <w:sz w:val="24"/>
          <w:szCs w:val="24"/>
        </w:rPr>
        <w:t>A clients are co-</w:t>
      </w:r>
      <w:proofErr w:type="spellStart"/>
      <w:r w:rsidRPr="00AF4CC9">
        <w:rPr>
          <w:sz w:val="24"/>
          <w:szCs w:val="24"/>
        </w:rPr>
        <w:t>habitating</w:t>
      </w:r>
      <w:proofErr w:type="spellEnd"/>
      <w:r w:rsidRPr="00AF4CC9">
        <w:rPr>
          <w:sz w:val="24"/>
          <w:szCs w:val="24"/>
        </w:rPr>
        <w:t xml:space="preserve"> and request emergency housing assistance, the Regional Manager will determine how the provision is made and allocated.</w:t>
      </w:r>
    </w:p>
    <w:p w:rsidR="00F36444" w:rsidRPr="00AF4CC9" w:rsidRDefault="00F36444" w:rsidP="00F36444">
      <w:pPr>
        <w:rPr>
          <w:sz w:val="24"/>
          <w:szCs w:val="24"/>
        </w:rPr>
      </w:pPr>
      <w:r w:rsidRPr="00AF4CC9">
        <w:rPr>
          <w:sz w:val="24"/>
          <w:szCs w:val="24"/>
        </w:rPr>
        <w:t>Dependent Care: Assistance for dependent care is authorized and may be provided to clients who are responsible for such care to a minor or adult member of the family.</w:t>
      </w:r>
    </w:p>
    <w:p w:rsidR="00F36444" w:rsidRPr="00AF4CC9" w:rsidRDefault="00F36444" w:rsidP="00F36444">
      <w:pPr>
        <w:rPr>
          <w:sz w:val="24"/>
          <w:szCs w:val="24"/>
        </w:rPr>
      </w:pPr>
      <w:r w:rsidRPr="00AF4CC9">
        <w:rPr>
          <w:sz w:val="24"/>
          <w:szCs w:val="24"/>
        </w:rPr>
        <w:t>Medical Services: Supportive service assistance is authorized for healthcare and medical services. This assistance is not intended to cover the costs of major issues such as major surgery or major dental care, and is not intended to encourage visits to healthcare centers or doctors for minor illnesses such as flu, colds, etc. for which the participant would not normally seek medical attention.</w:t>
      </w:r>
    </w:p>
    <w:p w:rsidR="00F36444" w:rsidRPr="00AF4CC9" w:rsidRDefault="00F36444" w:rsidP="00F36444">
      <w:pPr>
        <w:rPr>
          <w:sz w:val="24"/>
          <w:szCs w:val="24"/>
        </w:rPr>
      </w:pPr>
      <w:r w:rsidRPr="00AF4CC9">
        <w:rPr>
          <w:sz w:val="24"/>
          <w:szCs w:val="24"/>
        </w:rPr>
        <w:t>Reimbursement claims for providing this assistance must include the name of the participant, the type of assistance provided, the providers Federal ID number and be signed by the provider.</w:t>
      </w:r>
    </w:p>
    <w:p w:rsidR="00F36444" w:rsidRPr="00AF4CC9" w:rsidRDefault="00F36444" w:rsidP="00F36444">
      <w:pPr>
        <w:rPr>
          <w:sz w:val="24"/>
          <w:szCs w:val="24"/>
        </w:rPr>
      </w:pPr>
      <w:r w:rsidRPr="00AF4CC9">
        <w:rPr>
          <w:sz w:val="24"/>
          <w:szCs w:val="24"/>
          <w:u w:val="thick"/>
        </w:rPr>
        <w:t xml:space="preserve">Protective Clothing, Tools. and Equipment: </w:t>
      </w:r>
      <w:r w:rsidRPr="00AF4CC9">
        <w:rPr>
          <w:sz w:val="24"/>
          <w:szCs w:val="24"/>
        </w:rPr>
        <w:t>Supportive services assistance is authorized for protective clothing, tools, and equipment required for clients to enroll and participate in training programs or employment under the Workforce In</w:t>
      </w:r>
      <w:r w:rsidR="00C670C6" w:rsidRPr="00AF4CC9">
        <w:rPr>
          <w:sz w:val="24"/>
          <w:szCs w:val="24"/>
        </w:rPr>
        <w:t xml:space="preserve">novation and Opportunity </w:t>
      </w:r>
      <w:r w:rsidRPr="00AF4CC9">
        <w:rPr>
          <w:sz w:val="24"/>
          <w:szCs w:val="24"/>
        </w:rPr>
        <w:t>Act. These items may include eyewear, steel-toed shoes, work related or training related tools and equipment, uniforms, etc. If these items are required under the training program curriculum, they become training costs and are included in the individual training account obligations.</w:t>
      </w:r>
    </w:p>
    <w:p w:rsidR="00F36444" w:rsidRPr="00AF4CC9" w:rsidRDefault="00F36444" w:rsidP="00F36444">
      <w:pPr>
        <w:rPr>
          <w:sz w:val="24"/>
          <w:szCs w:val="24"/>
        </w:rPr>
      </w:pPr>
      <w:r w:rsidRPr="00AF4CC9">
        <w:rPr>
          <w:sz w:val="24"/>
          <w:szCs w:val="24"/>
        </w:rPr>
        <w:t>Items not included in the training program curriculum are supportive services if they are provided to the participant. To authorize supportive services for protective gear, it must be determined the items are necessary to protect the participant's health and safety. Tools and equipment procured for participants to obtain employment after they have completed a training program must be fully justified by an employer's statement, or by sources other than the participant.</w:t>
      </w:r>
    </w:p>
    <w:p w:rsidR="00F36444" w:rsidRPr="00AF4CC9" w:rsidRDefault="00F36444" w:rsidP="00F36444">
      <w:pPr>
        <w:rPr>
          <w:sz w:val="24"/>
          <w:szCs w:val="24"/>
        </w:rPr>
      </w:pPr>
      <w:r w:rsidRPr="00AF4CC9">
        <w:rPr>
          <w:sz w:val="24"/>
          <w:szCs w:val="24"/>
          <w:u w:val="thick"/>
        </w:rPr>
        <w:t xml:space="preserve">Linkages to Community Services:  </w:t>
      </w:r>
      <w:r w:rsidRPr="00AF4CC9">
        <w:rPr>
          <w:sz w:val="24"/>
          <w:szCs w:val="24"/>
        </w:rPr>
        <w:t>Assistance in providing linkages, referrals, and accurate information about the availability of supportive service assistance not provided or funded by the Workforce In</w:t>
      </w:r>
      <w:r w:rsidR="00C670C6" w:rsidRPr="00AF4CC9">
        <w:rPr>
          <w:sz w:val="24"/>
          <w:szCs w:val="24"/>
        </w:rPr>
        <w:t xml:space="preserve">novation and Opportunity </w:t>
      </w:r>
      <w:r w:rsidRPr="00AF4CC9">
        <w:rPr>
          <w:sz w:val="24"/>
          <w:szCs w:val="24"/>
        </w:rPr>
        <w:t>Act.  These services may include:  Food stamps, temporary assistance for needy families (TANF), veteran's assistance funds, financial assistance for education, county public assistance funds, etc.</w:t>
      </w:r>
    </w:p>
    <w:p w:rsidR="00F36444" w:rsidRPr="00AF4CC9" w:rsidRDefault="00F36444" w:rsidP="00F36444">
      <w:pPr>
        <w:rPr>
          <w:sz w:val="24"/>
          <w:szCs w:val="24"/>
        </w:rPr>
      </w:pPr>
      <w:r w:rsidRPr="00AF4CC9">
        <w:rPr>
          <w:sz w:val="24"/>
          <w:szCs w:val="24"/>
        </w:rPr>
        <w:t>SUPPORTIVE SERVICES CHART</w:t>
      </w:r>
    </w:p>
    <w:tbl>
      <w:tblPr>
        <w:tblW w:w="9912" w:type="dxa"/>
        <w:tblInd w:w="109" w:type="dxa"/>
        <w:tblLayout w:type="fixed"/>
        <w:tblCellMar>
          <w:left w:w="0" w:type="dxa"/>
          <w:right w:w="0" w:type="dxa"/>
        </w:tblCellMar>
        <w:tblLook w:val="01E0" w:firstRow="1" w:lastRow="1" w:firstColumn="1" w:lastColumn="1" w:noHBand="0" w:noVBand="0"/>
      </w:tblPr>
      <w:tblGrid>
        <w:gridCol w:w="3850"/>
        <w:gridCol w:w="3627"/>
        <w:gridCol w:w="2435"/>
      </w:tblGrid>
      <w:tr w:rsidR="00F36444" w:rsidRPr="00AF4CC9" w:rsidTr="00F36444">
        <w:trPr>
          <w:trHeight w:hRule="exact" w:val="564"/>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after="0" w:line="240" w:lineRule="auto"/>
              <w:rPr>
                <w:rFonts w:eastAsia="Arial" w:cs="Arial"/>
                <w:sz w:val="24"/>
                <w:szCs w:val="24"/>
              </w:rPr>
            </w:pPr>
          </w:p>
          <w:p w:rsidR="00F36444" w:rsidRPr="00AF4CC9" w:rsidRDefault="00F36444" w:rsidP="00F36444">
            <w:pPr>
              <w:widowControl w:val="0"/>
              <w:spacing w:after="0" w:line="240" w:lineRule="auto"/>
              <w:ind w:left="150"/>
              <w:rPr>
                <w:rFonts w:eastAsia="Arial" w:cs="Arial"/>
                <w:sz w:val="24"/>
                <w:szCs w:val="24"/>
              </w:rPr>
            </w:pPr>
            <w:r w:rsidRPr="00AF4CC9">
              <w:rPr>
                <w:rFonts w:eastAsia="Calibri" w:cs="Times New Roman"/>
                <w:b/>
                <w:sz w:val="24"/>
                <w:szCs w:val="24"/>
              </w:rPr>
              <w:t>Service</w:t>
            </w:r>
          </w:p>
        </w:tc>
        <w:tc>
          <w:tcPr>
            <w:tcW w:w="3627"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after="0" w:line="240" w:lineRule="auto"/>
              <w:rPr>
                <w:rFonts w:eastAsia="Arial" w:cs="Arial"/>
                <w:sz w:val="24"/>
                <w:szCs w:val="24"/>
              </w:rPr>
            </w:pPr>
          </w:p>
          <w:p w:rsidR="00F36444" w:rsidRPr="00AF4CC9" w:rsidRDefault="00F36444" w:rsidP="00F36444">
            <w:pPr>
              <w:widowControl w:val="0"/>
              <w:spacing w:after="0" w:line="240" w:lineRule="auto"/>
              <w:ind w:left="86"/>
              <w:rPr>
                <w:rFonts w:eastAsia="Arial" w:cs="Arial"/>
                <w:sz w:val="24"/>
                <w:szCs w:val="24"/>
              </w:rPr>
            </w:pPr>
            <w:r w:rsidRPr="00AF4CC9">
              <w:rPr>
                <w:rFonts w:eastAsia="Calibri" w:cs="Times New Roman"/>
                <w:b/>
                <w:w w:val="105"/>
                <w:sz w:val="24"/>
                <w:szCs w:val="24"/>
              </w:rPr>
              <w:t>Limit</w:t>
            </w:r>
          </w:p>
        </w:tc>
        <w:tc>
          <w:tcPr>
            <w:tcW w:w="2435"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54" w:after="0" w:line="250" w:lineRule="auto"/>
              <w:ind w:left="79" w:right="987" w:hanging="8"/>
              <w:rPr>
                <w:rFonts w:eastAsia="Arial" w:cs="Arial"/>
                <w:sz w:val="24"/>
                <w:szCs w:val="24"/>
              </w:rPr>
            </w:pPr>
            <w:r w:rsidRPr="00AF4CC9">
              <w:rPr>
                <w:rFonts w:eastAsia="Calibri" w:cs="Times New Roman"/>
                <w:b/>
                <w:w w:val="105"/>
                <w:sz w:val="24"/>
                <w:szCs w:val="24"/>
              </w:rPr>
              <w:t>Approval</w:t>
            </w:r>
            <w:r w:rsidRPr="00AF4CC9">
              <w:rPr>
                <w:rFonts w:eastAsia="Calibri" w:cs="Times New Roman"/>
                <w:b/>
                <w:spacing w:val="-23"/>
                <w:w w:val="105"/>
                <w:sz w:val="24"/>
                <w:szCs w:val="24"/>
              </w:rPr>
              <w:t xml:space="preserve"> </w:t>
            </w:r>
            <w:r w:rsidRPr="00AF4CC9">
              <w:rPr>
                <w:rFonts w:eastAsia="Calibri" w:cs="Times New Roman"/>
                <w:b/>
                <w:w w:val="105"/>
                <w:sz w:val="24"/>
                <w:szCs w:val="24"/>
              </w:rPr>
              <w:t>to</w:t>
            </w:r>
            <w:r w:rsidRPr="00AF4CC9">
              <w:rPr>
                <w:rFonts w:eastAsia="Calibri" w:cs="Times New Roman"/>
                <w:b/>
                <w:w w:val="104"/>
                <w:sz w:val="24"/>
                <w:szCs w:val="24"/>
              </w:rPr>
              <w:t xml:space="preserve"> </w:t>
            </w:r>
            <w:r w:rsidRPr="00AF4CC9">
              <w:rPr>
                <w:rFonts w:eastAsia="Calibri" w:cs="Times New Roman"/>
                <w:b/>
                <w:w w:val="105"/>
                <w:sz w:val="24"/>
                <w:szCs w:val="24"/>
              </w:rPr>
              <w:t>Exceed</w:t>
            </w:r>
            <w:r w:rsidRPr="00AF4CC9">
              <w:rPr>
                <w:rFonts w:eastAsia="Calibri" w:cs="Times New Roman"/>
                <w:b/>
                <w:spacing w:val="-20"/>
                <w:w w:val="105"/>
                <w:sz w:val="24"/>
                <w:szCs w:val="24"/>
              </w:rPr>
              <w:t xml:space="preserve"> </w:t>
            </w:r>
            <w:r w:rsidRPr="00AF4CC9">
              <w:rPr>
                <w:rFonts w:eastAsia="Calibri" w:cs="Times New Roman"/>
                <w:b/>
                <w:w w:val="105"/>
                <w:sz w:val="24"/>
                <w:szCs w:val="24"/>
              </w:rPr>
              <w:t>Limit</w:t>
            </w:r>
          </w:p>
        </w:tc>
      </w:tr>
      <w:tr w:rsidR="00F36444" w:rsidRPr="00AF4CC9" w:rsidTr="00F36444">
        <w:trPr>
          <w:trHeight w:hRule="exact" w:val="381"/>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5" w:after="0" w:line="240" w:lineRule="auto"/>
              <w:ind w:left="150"/>
              <w:rPr>
                <w:rFonts w:eastAsia="Arial" w:cs="Arial"/>
                <w:sz w:val="24"/>
                <w:szCs w:val="24"/>
              </w:rPr>
            </w:pPr>
            <w:r w:rsidRPr="00AF4CC9">
              <w:rPr>
                <w:rFonts w:eastAsia="Calibri" w:cs="Times New Roman"/>
                <w:w w:val="105"/>
                <w:sz w:val="24"/>
                <w:szCs w:val="24"/>
              </w:rPr>
              <w:t>Total</w:t>
            </w:r>
            <w:r w:rsidRPr="00AF4CC9">
              <w:rPr>
                <w:rFonts w:eastAsia="Calibri" w:cs="Times New Roman"/>
                <w:spacing w:val="-18"/>
                <w:w w:val="105"/>
                <w:sz w:val="24"/>
                <w:szCs w:val="24"/>
              </w:rPr>
              <w:t xml:space="preserve"> </w:t>
            </w:r>
            <w:r w:rsidRPr="00AF4CC9">
              <w:rPr>
                <w:rFonts w:eastAsia="Calibri" w:cs="Times New Roman"/>
                <w:w w:val="105"/>
                <w:sz w:val="24"/>
                <w:szCs w:val="24"/>
              </w:rPr>
              <w:t>Supportive</w:t>
            </w:r>
            <w:r w:rsidRPr="00AF4CC9">
              <w:rPr>
                <w:rFonts w:eastAsia="Calibri" w:cs="Times New Roman"/>
                <w:spacing w:val="-8"/>
                <w:w w:val="105"/>
                <w:sz w:val="24"/>
                <w:szCs w:val="24"/>
              </w:rPr>
              <w:t xml:space="preserve"> </w:t>
            </w:r>
            <w:r w:rsidRPr="00AF4CC9">
              <w:rPr>
                <w:rFonts w:eastAsia="Calibri" w:cs="Times New Roman"/>
                <w:spacing w:val="-1"/>
                <w:w w:val="105"/>
                <w:sz w:val="24"/>
                <w:szCs w:val="24"/>
              </w:rPr>
              <w:t>Services</w:t>
            </w:r>
          </w:p>
        </w:tc>
        <w:tc>
          <w:tcPr>
            <w:tcW w:w="3627"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5" w:after="0" w:line="240" w:lineRule="auto"/>
              <w:ind w:left="86"/>
              <w:rPr>
                <w:rFonts w:eastAsia="Arial" w:cs="Arial"/>
                <w:sz w:val="24"/>
                <w:szCs w:val="24"/>
              </w:rPr>
            </w:pPr>
            <w:r w:rsidRPr="00AF4CC9">
              <w:rPr>
                <w:rFonts w:eastAsia="Calibri" w:cs="Times New Roman"/>
                <w:spacing w:val="-1"/>
                <w:w w:val="105"/>
                <w:sz w:val="24"/>
                <w:szCs w:val="24"/>
              </w:rPr>
              <w:t>$1,000</w:t>
            </w:r>
          </w:p>
        </w:tc>
        <w:tc>
          <w:tcPr>
            <w:tcW w:w="2435"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5" w:after="0" w:line="240" w:lineRule="auto"/>
              <w:ind w:left="86"/>
              <w:rPr>
                <w:rFonts w:eastAsia="Arial" w:cs="Arial"/>
                <w:sz w:val="24"/>
                <w:szCs w:val="24"/>
              </w:rPr>
            </w:pPr>
            <w:r w:rsidRPr="00AF4CC9">
              <w:rPr>
                <w:rFonts w:eastAsia="Calibri" w:cs="Times New Roman"/>
                <w:spacing w:val="-2"/>
                <w:w w:val="105"/>
                <w:sz w:val="24"/>
                <w:szCs w:val="24"/>
              </w:rPr>
              <w:t>Regional</w:t>
            </w:r>
            <w:r w:rsidRPr="00AF4CC9">
              <w:rPr>
                <w:rFonts w:eastAsia="Calibri" w:cs="Times New Roman"/>
                <w:spacing w:val="-10"/>
                <w:w w:val="105"/>
                <w:sz w:val="24"/>
                <w:szCs w:val="24"/>
              </w:rPr>
              <w:t xml:space="preserve"> </w:t>
            </w:r>
            <w:r w:rsidRPr="00AF4CC9">
              <w:rPr>
                <w:rFonts w:eastAsia="Calibri" w:cs="Times New Roman"/>
                <w:w w:val="105"/>
                <w:sz w:val="24"/>
                <w:szCs w:val="24"/>
              </w:rPr>
              <w:t>Manager</w:t>
            </w:r>
          </w:p>
        </w:tc>
      </w:tr>
      <w:tr w:rsidR="00F36444" w:rsidRPr="00AF4CC9" w:rsidTr="00F36444">
        <w:trPr>
          <w:trHeight w:hRule="exact" w:val="385"/>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72" w:after="0" w:line="240" w:lineRule="auto"/>
              <w:ind w:left="150"/>
              <w:rPr>
                <w:rFonts w:eastAsia="Arial" w:cs="Arial"/>
                <w:sz w:val="24"/>
                <w:szCs w:val="24"/>
              </w:rPr>
            </w:pPr>
            <w:r w:rsidRPr="00AF4CC9">
              <w:rPr>
                <w:rFonts w:eastAsia="Calibri" w:cs="Times New Roman"/>
                <w:w w:val="105"/>
                <w:sz w:val="24"/>
                <w:szCs w:val="24"/>
              </w:rPr>
              <w:t>Total</w:t>
            </w:r>
            <w:r w:rsidRPr="00AF4CC9">
              <w:rPr>
                <w:rFonts w:eastAsia="Calibri" w:cs="Times New Roman"/>
                <w:spacing w:val="-13"/>
                <w:w w:val="105"/>
                <w:sz w:val="24"/>
                <w:szCs w:val="24"/>
              </w:rPr>
              <w:t xml:space="preserve"> </w:t>
            </w:r>
            <w:r w:rsidRPr="00AF4CC9">
              <w:rPr>
                <w:rFonts w:eastAsia="Calibri" w:cs="Times New Roman"/>
                <w:w w:val="105"/>
                <w:sz w:val="24"/>
                <w:szCs w:val="24"/>
              </w:rPr>
              <w:t>Supportive</w:t>
            </w:r>
            <w:r w:rsidRPr="00AF4CC9">
              <w:rPr>
                <w:rFonts w:eastAsia="Calibri" w:cs="Times New Roman"/>
                <w:spacing w:val="-13"/>
                <w:w w:val="105"/>
                <w:sz w:val="24"/>
                <w:szCs w:val="24"/>
              </w:rPr>
              <w:t xml:space="preserve"> </w:t>
            </w:r>
            <w:r w:rsidRPr="00AF4CC9">
              <w:rPr>
                <w:rFonts w:eastAsia="Calibri" w:cs="Times New Roman"/>
                <w:spacing w:val="-1"/>
                <w:w w:val="105"/>
                <w:sz w:val="24"/>
                <w:szCs w:val="24"/>
              </w:rPr>
              <w:t>Services</w:t>
            </w:r>
          </w:p>
        </w:tc>
        <w:tc>
          <w:tcPr>
            <w:tcW w:w="3627"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72" w:after="0" w:line="240" w:lineRule="auto"/>
              <w:ind w:left="86"/>
              <w:rPr>
                <w:rFonts w:eastAsia="Arial" w:cs="Arial"/>
                <w:sz w:val="24"/>
                <w:szCs w:val="24"/>
              </w:rPr>
            </w:pPr>
            <w:r w:rsidRPr="00AF4CC9">
              <w:rPr>
                <w:rFonts w:eastAsia="Calibri" w:cs="Times New Roman"/>
                <w:w w:val="105"/>
                <w:sz w:val="24"/>
                <w:szCs w:val="24"/>
              </w:rPr>
              <w:t>$2,000</w:t>
            </w:r>
          </w:p>
        </w:tc>
        <w:tc>
          <w:tcPr>
            <w:tcW w:w="2435"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5" w:after="0" w:line="240" w:lineRule="auto"/>
              <w:ind w:left="79"/>
              <w:rPr>
                <w:rFonts w:eastAsia="Arial" w:cs="Arial"/>
                <w:sz w:val="24"/>
                <w:szCs w:val="24"/>
              </w:rPr>
            </w:pPr>
            <w:r w:rsidRPr="00AF4CC9">
              <w:rPr>
                <w:rFonts w:eastAsia="Calibri" w:cs="Times New Roman"/>
                <w:w w:val="105"/>
                <w:sz w:val="24"/>
                <w:szCs w:val="24"/>
              </w:rPr>
              <w:t>OWS</w:t>
            </w:r>
            <w:r w:rsidRPr="00AF4CC9">
              <w:rPr>
                <w:rFonts w:eastAsia="Calibri" w:cs="Times New Roman"/>
                <w:spacing w:val="-44"/>
                <w:w w:val="105"/>
                <w:sz w:val="24"/>
                <w:szCs w:val="24"/>
              </w:rPr>
              <w:t xml:space="preserve"> </w:t>
            </w:r>
            <w:r w:rsidRPr="00AF4CC9">
              <w:rPr>
                <w:rFonts w:eastAsia="Calibri" w:cs="Times New Roman"/>
                <w:w w:val="105"/>
                <w:sz w:val="24"/>
                <w:szCs w:val="24"/>
              </w:rPr>
              <w:t>Admin</w:t>
            </w:r>
            <w:r w:rsidRPr="00AF4CC9">
              <w:rPr>
                <w:rFonts w:eastAsia="Calibri" w:cs="Times New Roman"/>
                <w:spacing w:val="14"/>
                <w:w w:val="105"/>
                <w:sz w:val="24"/>
                <w:szCs w:val="24"/>
              </w:rPr>
              <w:t>i</w:t>
            </w:r>
            <w:r w:rsidRPr="00AF4CC9">
              <w:rPr>
                <w:rFonts w:eastAsia="Calibri" w:cs="Times New Roman"/>
                <w:w w:val="105"/>
                <w:sz w:val="24"/>
                <w:szCs w:val="24"/>
              </w:rPr>
              <w:t>stration</w:t>
            </w:r>
          </w:p>
        </w:tc>
      </w:tr>
      <w:tr w:rsidR="00F36444" w:rsidRPr="00AF4CC9" w:rsidTr="00F36444">
        <w:trPr>
          <w:trHeight w:hRule="exact" w:val="352"/>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54" w:after="0" w:line="240" w:lineRule="auto"/>
              <w:ind w:left="172"/>
              <w:rPr>
                <w:rFonts w:eastAsia="Arial" w:cs="Arial"/>
                <w:sz w:val="24"/>
                <w:szCs w:val="24"/>
              </w:rPr>
            </w:pPr>
            <w:r w:rsidRPr="00AF4CC9">
              <w:rPr>
                <w:rFonts w:eastAsia="Calibri" w:cs="Times New Roman"/>
                <w:sz w:val="24"/>
                <w:szCs w:val="24"/>
              </w:rPr>
              <w:lastRenderedPageBreak/>
              <w:t xml:space="preserve">Mileage </w:t>
            </w:r>
            <w:r w:rsidRPr="00AF4CC9">
              <w:rPr>
                <w:rFonts w:eastAsia="Calibri" w:cs="Times New Roman"/>
                <w:spacing w:val="2"/>
                <w:sz w:val="24"/>
                <w:szCs w:val="24"/>
              </w:rPr>
              <w:t xml:space="preserve"> </w:t>
            </w:r>
            <w:r w:rsidRPr="00AF4CC9">
              <w:rPr>
                <w:rFonts w:eastAsia="Calibri" w:cs="Times New Roman"/>
                <w:sz w:val="24"/>
                <w:szCs w:val="24"/>
              </w:rPr>
              <w:t>Reimbursement</w:t>
            </w:r>
          </w:p>
        </w:tc>
        <w:tc>
          <w:tcPr>
            <w:tcW w:w="3627" w:type="dxa"/>
            <w:tcBorders>
              <w:top w:val="single" w:sz="6" w:space="0" w:color="000000"/>
              <w:left w:val="single" w:sz="6" w:space="0" w:color="000000"/>
              <w:bottom w:val="single" w:sz="6" w:space="0" w:color="000000"/>
              <w:right w:val="single" w:sz="9" w:space="0" w:color="000000"/>
            </w:tcBorders>
          </w:tcPr>
          <w:p w:rsidR="00F36444" w:rsidRPr="00AF4CC9" w:rsidRDefault="00F36444" w:rsidP="00F36444">
            <w:pPr>
              <w:widowControl w:val="0"/>
              <w:spacing w:before="54" w:after="0" w:line="240" w:lineRule="auto"/>
              <w:ind w:left="93"/>
              <w:rPr>
                <w:rFonts w:eastAsia="Arial" w:cs="Arial"/>
                <w:sz w:val="24"/>
                <w:szCs w:val="24"/>
              </w:rPr>
            </w:pPr>
            <w:r w:rsidRPr="00AF4CC9">
              <w:rPr>
                <w:rFonts w:eastAsia="Calibri" w:cs="Times New Roman"/>
                <w:spacing w:val="-1"/>
                <w:w w:val="105"/>
                <w:sz w:val="24"/>
                <w:szCs w:val="24"/>
              </w:rPr>
              <w:t>$0.30/mile</w:t>
            </w:r>
          </w:p>
        </w:tc>
        <w:tc>
          <w:tcPr>
            <w:tcW w:w="2435" w:type="dxa"/>
            <w:tcBorders>
              <w:top w:val="single" w:sz="6" w:space="0" w:color="000000"/>
              <w:left w:val="single" w:sz="9" w:space="0" w:color="000000"/>
              <w:bottom w:val="single" w:sz="6" w:space="0" w:color="000000"/>
              <w:right w:val="single" w:sz="6" w:space="0" w:color="000000"/>
            </w:tcBorders>
          </w:tcPr>
          <w:p w:rsidR="00F36444" w:rsidRPr="00AF4CC9" w:rsidRDefault="00F36444" w:rsidP="00F36444">
            <w:pPr>
              <w:widowControl w:val="0"/>
              <w:spacing w:before="54" w:after="0" w:line="240" w:lineRule="auto"/>
              <w:ind w:left="82"/>
              <w:rPr>
                <w:rFonts w:eastAsia="Arial" w:cs="Arial"/>
                <w:sz w:val="24"/>
                <w:szCs w:val="24"/>
              </w:rPr>
            </w:pPr>
            <w:r w:rsidRPr="00AF4CC9">
              <w:rPr>
                <w:rFonts w:eastAsia="Calibri" w:cs="Times New Roman"/>
                <w:w w:val="105"/>
                <w:sz w:val="24"/>
                <w:szCs w:val="24"/>
              </w:rPr>
              <w:t>Not</w:t>
            </w:r>
            <w:r w:rsidRPr="00AF4CC9">
              <w:rPr>
                <w:rFonts w:eastAsia="Calibri" w:cs="Times New Roman"/>
                <w:spacing w:val="-36"/>
                <w:w w:val="105"/>
                <w:sz w:val="24"/>
                <w:szCs w:val="24"/>
              </w:rPr>
              <w:t xml:space="preserve"> </w:t>
            </w:r>
            <w:r w:rsidRPr="00AF4CC9">
              <w:rPr>
                <w:rFonts w:eastAsia="Calibri" w:cs="Times New Roman"/>
                <w:w w:val="105"/>
                <w:sz w:val="24"/>
                <w:szCs w:val="24"/>
              </w:rPr>
              <w:t>Allowed</w:t>
            </w:r>
          </w:p>
        </w:tc>
      </w:tr>
      <w:tr w:rsidR="00F36444" w:rsidRPr="00AF4CC9" w:rsidTr="00F36444">
        <w:trPr>
          <w:trHeight w:hRule="exact" w:val="385"/>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9" w:after="0" w:line="240" w:lineRule="auto"/>
              <w:ind w:left="172"/>
              <w:rPr>
                <w:rFonts w:eastAsia="Arial" w:cs="Arial"/>
                <w:sz w:val="24"/>
                <w:szCs w:val="24"/>
              </w:rPr>
            </w:pPr>
            <w:r w:rsidRPr="00AF4CC9">
              <w:rPr>
                <w:rFonts w:eastAsia="Calibri" w:cs="Times New Roman"/>
                <w:sz w:val="24"/>
                <w:szCs w:val="24"/>
              </w:rPr>
              <w:t>Basic</w:t>
            </w:r>
            <w:r w:rsidRPr="00AF4CC9">
              <w:rPr>
                <w:rFonts w:eastAsia="Calibri" w:cs="Times New Roman"/>
                <w:spacing w:val="9"/>
                <w:sz w:val="24"/>
                <w:szCs w:val="24"/>
              </w:rPr>
              <w:t xml:space="preserve"> </w:t>
            </w:r>
            <w:r w:rsidRPr="00AF4CC9">
              <w:rPr>
                <w:rFonts w:eastAsia="Calibri" w:cs="Times New Roman"/>
                <w:sz w:val="24"/>
                <w:szCs w:val="24"/>
              </w:rPr>
              <w:t>Car</w:t>
            </w:r>
            <w:r w:rsidRPr="00AF4CC9">
              <w:rPr>
                <w:rFonts w:eastAsia="Calibri" w:cs="Times New Roman"/>
                <w:spacing w:val="34"/>
                <w:sz w:val="24"/>
                <w:szCs w:val="24"/>
              </w:rPr>
              <w:t xml:space="preserve"> </w:t>
            </w:r>
            <w:r w:rsidRPr="00AF4CC9">
              <w:rPr>
                <w:rFonts w:eastAsia="Calibri" w:cs="Times New Roman"/>
                <w:sz w:val="24"/>
                <w:szCs w:val="24"/>
              </w:rPr>
              <w:t>Repair</w:t>
            </w:r>
          </w:p>
        </w:tc>
        <w:tc>
          <w:tcPr>
            <w:tcW w:w="3627"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9" w:after="0" w:line="240" w:lineRule="auto"/>
              <w:ind w:left="93"/>
              <w:rPr>
                <w:rFonts w:eastAsia="Arial" w:cs="Arial"/>
                <w:sz w:val="24"/>
                <w:szCs w:val="24"/>
              </w:rPr>
            </w:pPr>
            <w:r w:rsidRPr="00AF4CC9">
              <w:rPr>
                <w:rFonts w:eastAsia="Calibri" w:cs="Times New Roman"/>
                <w:w w:val="105"/>
                <w:sz w:val="24"/>
                <w:szCs w:val="24"/>
              </w:rPr>
              <w:t>$300</w:t>
            </w:r>
          </w:p>
        </w:tc>
        <w:tc>
          <w:tcPr>
            <w:tcW w:w="2435"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9" w:after="0" w:line="240" w:lineRule="auto"/>
              <w:ind w:left="79"/>
              <w:rPr>
                <w:rFonts w:eastAsia="Arial" w:cs="Arial"/>
                <w:sz w:val="24"/>
                <w:szCs w:val="24"/>
              </w:rPr>
            </w:pPr>
            <w:r w:rsidRPr="00AF4CC9">
              <w:rPr>
                <w:rFonts w:eastAsia="Calibri" w:cs="Times New Roman"/>
                <w:sz w:val="24"/>
                <w:szCs w:val="24"/>
              </w:rPr>
              <w:t xml:space="preserve">Administrative </w:t>
            </w:r>
            <w:r w:rsidRPr="00AF4CC9">
              <w:rPr>
                <w:rFonts w:eastAsia="Calibri" w:cs="Times New Roman"/>
                <w:spacing w:val="19"/>
                <w:sz w:val="24"/>
                <w:szCs w:val="24"/>
              </w:rPr>
              <w:t xml:space="preserve"> </w:t>
            </w:r>
            <w:r w:rsidRPr="00AF4CC9">
              <w:rPr>
                <w:rFonts w:eastAsia="Calibri" w:cs="Times New Roman"/>
                <w:sz w:val="24"/>
                <w:szCs w:val="24"/>
              </w:rPr>
              <w:t>Entity</w:t>
            </w:r>
          </w:p>
        </w:tc>
      </w:tr>
      <w:tr w:rsidR="00F36444" w:rsidRPr="00AF4CC9" w:rsidTr="00F36444">
        <w:trPr>
          <w:trHeight w:hRule="exact" w:val="381"/>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72" w:after="0" w:line="240" w:lineRule="auto"/>
              <w:ind w:left="179"/>
              <w:rPr>
                <w:rFonts w:eastAsia="Arial" w:cs="Arial"/>
                <w:sz w:val="24"/>
                <w:szCs w:val="24"/>
              </w:rPr>
            </w:pPr>
            <w:r w:rsidRPr="00AF4CC9">
              <w:rPr>
                <w:rFonts w:eastAsia="Calibri" w:cs="Times New Roman"/>
                <w:sz w:val="24"/>
                <w:szCs w:val="24"/>
              </w:rPr>
              <w:t>Car</w:t>
            </w:r>
            <w:r w:rsidRPr="00AF4CC9">
              <w:rPr>
                <w:rFonts w:eastAsia="Calibri" w:cs="Times New Roman"/>
                <w:spacing w:val="34"/>
                <w:sz w:val="24"/>
                <w:szCs w:val="24"/>
              </w:rPr>
              <w:t xml:space="preserve"> </w:t>
            </w:r>
            <w:r w:rsidRPr="00AF4CC9">
              <w:rPr>
                <w:rFonts w:eastAsia="Calibri" w:cs="Times New Roman"/>
                <w:sz w:val="24"/>
                <w:szCs w:val="24"/>
              </w:rPr>
              <w:t>Liability</w:t>
            </w:r>
            <w:r w:rsidRPr="00AF4CC9">
              <w:rPr>
                <w:rFonts w:eastAsia="Calibri" w:cs="Times New Roman"/>
                <w:spacing w:val="30"/>
                <w:sz w:val="24"/>
                <w:szCs w:val="24"/>
              </w:rPr>
              <w:t xml:space="preserve"> </w:t>
            </w:r>
            <w:r w:rsidRPr="00AF4CC9">
              <w:rPr>
                <w:rFonts w:eastAsia="Calibri" w:cs="Times New Roman"/>
                <w:sz w:val="24"/>
                <w:szCs w:val="24"/>
              </w:rPr>
              <w:t>Insurance</w:t>
            </w:r>
          </w:p>
        </w:tc>
        <w:tc>
          <w:tcPr>
            <w:tcW w:w="3627" w:type="dxa"/>
            <w:tcBorders>
              <w:top w:val="single" w:sz="6" w:space="0" w:color="000000"/>
              <w:left w:val="single" w:sz="6" w:space="0" w:color="000000"/>
              <w:bottom w:val="single" w:sz="6" w:space="0" w:color="000000"/>
              <w:right w:val="single" w:sz="9" w:space="0" w:color="000000"/>
            </w:tcBorders>
          </w:tcPr>
          <w:p w:rsidR="00F36444" w:rsidRPr="00AF4CC9" w:rsidRDefault="00F36444" w:rsidP="00F36444">
            <w:pPr>
              <w:widowControl w:val="0"/>
              <w:spacing w:before="65" w:after="0" w:line="240" w:lineRule="auto"/>
              <w:ind w:left="100"/>
              <w:rPr>
                <w:rFonts w:eastAsia="Arial" w:cs="Arial"/>
                <w:sz w:val="24"/>
                <w:szCs w:val="24"/>
              </w:rPr>
            </w:pPr>
            <w:r w:rsidRPr="00AF4CC9">
              <w:rPr>
                <w:rFonts w:eastAsia="Calibri" w:cs="Times New Roman"/>
                <w:w w:val="105"/>
                <w:sz w:val="24"/>
                <w:szCs w:val="24"/>
              </w:rPr>
              <w:t>$600</w:t>
            </w:r>
          </w:p>
        </w:tc>
        <w:tc>
          <w:tcPr>
            <w:tcW w:w="2435" w:type="dxa"/>
            <w:tcBorders>
              <w:top w:val="single" w:sz="6" w:space="0" w:color="000000"/>
              <w:left w:val="single" w:sz="9" w:space="0" w:color="000000"/>
              <w:bottom w:val="single" w:sz="6" w:space="0" w:color="000000"/>
              <w:right w:val="single" w:sz="6" w:space="0" w:color="000000"/>
            </w:tcBorders>
          </w:tcPr>
          <w:p w:rsidR="00F36444" w:rsidRPr="00AF4CC9" w:rsidRDefault="00F36444" w:rsidP="00F36444">
            <w:pPr>
              <w:widowControl w:val="0"/>
              <w:spacing w:before="65" w:after="0" w:line="240" w:lineRule="auto"/>
              <w:ind w:left="89"/>
              <w:rPr>
                <w:rFonts w:eastAsia="Arial" w:cs="Arial"/>
                <w:sz w:val="24"/>
                <w:szCs w:val="24"/>
              </w:rPr>
            </w:pPr>
            <w:r w:rsidRPr="00AF4CC9">
              <w:rPr>
                <w:rFonts w:eastAsia="Calibri" w:cs="Times New Roman"/>
                <w:sz w:val="24"/>
                <w:szCs w:val="24"/>
              </w:rPr>
              <w:t xml:space="preserve">Administrative </w:t>
            </w:r>
            <w:r w:rsidRPr="00AF4CC9">
              <w:rPr>
                <w:rFonts w:eastAsia="Calibri" w:cs="Times New Roman"/>
                <w:spacing w:val="17"/>
                <w:sz w:val="24"/>
                <w:szCs w:val="24"/>
              </w:rPr>
              <w:t xml:space="preserve"> </w:t>
            </w:r>
            <w:r w:rsidRPr="00AF4CC9">
              <w:rPr>
                <w:rFonts w:eastAsia="Calibri" w:cs="Times New Roman"/>
                <w:sz w:val="24"/>
                <w:szCs w:val="24"/>
              </w:rPr>
              <w:t>Entity</w:t>
            </w:r>
          </w:p>
        </w:tc>
      </w:tr>
      <w:tr w:rsidR="00F36444" w:rsidRPr="00AF4CC9" w:rsidTr="00F36444">
        <w:trPr>
          <w:trHeight w:hRule="exact" w:val="385"/>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5" w:after="0" w:line="240" w:lineRule="auto"/>
              <w:ind w:left="186"/>
              <w:rPr>
                <w:rFonts w:eastAsia="Arial" w:cs="Arial"/>
                <w:sz w:val="24"/>
                <w:szCs w:val="24"/>
              </w:rPr>
            </w:pPr>
            <w:r w:rsidRPr="00AF4CC9">
              <w:rPr>
                <w:rFonts w:eastAsia="Calibri" w:cs="Times New Roman"/>
                <w:w w:val="105"/>
                <w:sz w:val="24"/>
                <w:szCs w:val="24"/>
              </w:rPr>
              <w:t>Bus</w:t>
            </w:r>
            <w:r w:rsidRPr="00AF4CC9">
              <w:rPr>
                <w:rFonts w:eastAsia="Calibri" w:cs="Times New Roman"/>
                <w:spacing w:val="-13"/>
                <w:w w:val="105"/>
                <w:sz w:val="24"/>
                <w:szCs w:val="24"/>
              </w:rPr>
              <w:t xml:space="preserve"> </w:t>
            </w:r>
            <w:r w:rsidRPr="00AF4CC9">
              <w:rPr>
                <w:rFonts w:eastAsia="Calibri" w:cs="Times New Roman"/>
                <w:w w:val="105"/>
                <w:sz w:val="24"/>
                <w:szCs w:val="24"/>
              </w:rPr>
              <w:t>&amp;</w:t>
            </w:r>
            <w:r w:rsidRPr="00AF4CC9">
              <w:rPr>
                <w:rFonts w:eastAsia="Calibri" w:cs="Times New Roman"/>
                <w:spacing w:val="-20"/>
                <w:w w:val="105"/>
                <w:sz w:val="24"/>
                <w:szCs w:val="24"/>
              </w:rPr>
              <w:t xml:space="preserve"> </w:t>
            </w:r>
            <w:r w:rsidRPr="00AF4CC9">
              <w:rPr>
                <w:rFonts w:eastAsia="Calibri" w:cs="Times New Roman"/>
                <w:w w:val="105"/>
                <w:sz w:val="24"/>
                <w:szCs w:val="24"/>
              </w:rPr>
              <w:t>Taxi</w:t>
            </w:r>
            <w:r w:rsidRPr="00AF4CC9">
              <w:rPr>
                <w:rFonts w:eastAsia="Calibri" w:cs="Times New Roman"/>
                <w:spacing w:val="3"/>
                <w:w w:val="105"/>
                <w:sz w:val="24"/>
                <w:szCs w:val="24"/>
              </w:rPr>
              <w:t xml:space="preserve"> </w:t>
            </w:r>
            <w:r w:rsidRPr="00AF4CC9">
              <w:rPr>
                <w:rFonts w:eastAsia="Calibri" w:cs="Times New Roman"/>
                <w:w w:val="105"/>
                <w:sz w:val="24"/>
                <w:szCs w:val="24"/>
              </w:rPr>
              <w:t>Fares</w:t>
            </w:r>
          </w:p>
        </w:tc>
        <w:tc>
          <w:tcPr>
            <w:tcW w:w="3627" w:type="dxa"/>
            <w:tcBorders>
              <w:top w:val="single" w:sz="6" w:space="0" w:color="000000"/>
              <w:left w:val="single" w:sz="6" w:space="0" w:color="000000"/>
              <w:bottom w:val="single" w:sz="6" w:space="0" w:color="000000"/>
              <w:right w:val="single" w:sz="9" w:space="0" w:color="000000"/>
            </w:tcBorders>
          </w:tcPr>
          <w:p w:rsidR="00F36444" w:rsidRPr="00AF4CC9" w:rsidRDefault="00F36444" w:rsidP="00F36444">
            <w:pPr>
              <w:widowControl w:val="0"/>
              <w:spacing w:before="72" w:after="0" w:line="240" w:lineRule="auto"/>
              <w:ind w:left="107"/>
              <w:rPr>
                <w:rFonts w:eastAsia="Arial" w:cs="Arial"/>
                <w:sz w:val="24"/>
                <w:szCs w:val="24"/>
              </w:rPr>
            </w:pPr>
            <w:r w:rsidRPr="00AF4CC9">
              <w:rPr>
                <w:rFonts w:eastAsia="Calibri" w:cs="Times New Roman"/>
                <w:w w:val="105"/>
                <w:sz w:val="24"/>
                <w:szCs w:val="24"/>
              </w:rPr>
              <w:t>$600</w:t>
            </w:r>
          </w:p>
        </w:tc>
        <w:tc>
          <w:tcPr>
            <w:tcW w:w="2435" w:type="dxa"/>
            <w:tcBorders>
              <w:top w:val="single" w:sz="6" w:space="0" w:color="000000"/>
              <w:left w:val="single" w:sz="9" w:space="0" w:color="000000"/>
              <w:bottom w:val="single" w:sz="6" w:space="0" w:color="000000"/>
              <w:right w:val="single" w:sz="6" w:space="0" w:color="000000"/>
            </w:tcBorders>
          </w:tcPr>
          <w:p w:rsidR="00F36444" w:rsidRPr="00AF4CC9" w:rsidRDefault="00F36444" w:rsidP="00F36444">
            <w:pPr>
              <w:widowControl w:val="0"/>
              <w:spacing w:before="65" w:after="0" w:line="240" w:lineRule="auto"/>
              <w:ind w:left="89"/>
              <w:rPr>
                <w:rFonts w:eastAsia="Arial" w:cs="Arial"/>
                <w:sz w:val="24"/>
                <w:szCs w:val="24"/>
              </w:rPr>
            </w:pPr>
            <w:r w:rsidRPr="00AF4CC9">
              <w:rPr>
                <w:rFonts w:eastAsia="Calibri" w:cs="Times New Roman"/>
                <w:sz w:val="24"/>
                <w:szCs w:val="24"/>
              </w:rPr>
              <w:t xml:space="preserve">Administrative </w:t>
            </w:r>
            <w:r w:rsidRPr="00AF4CC9">
              <w:rPr>
                <w:rFonts w:eastAsia="Calibri" w:cs="Times New Roman"/>
                <w:spacing w:val="19"/>
                <w:sz w:val="24"/>
                <w:szCs w:val="24"/>
              </w:rPr>
              <w:t xml:space="preserve"> </w:t>
            </w:r>
            <w:r w:rsidRPr="00AF4CC9">
              <w:rPr>
                <w:rFonts w:eastAsia="Calibri" w:cs="Times New Roman"/>
                <w:sz w:val="24"/>
                <w:szCs w:val="24"/>
              </w:rPr>
              <w:t>Entity</w:t>
            </w:r>
          </w:p>
        </w:tc>
      </w:tr>
      <w:tr w:rsidR="00F36444" w:rsidRPr="00AF4CC9" w:rsidTr="00F36444">
        <w:trPr>
          <w:trHeight w:hRule="exact" w:val="381"/>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34" w:after="0" w:line="240" w:lineRule="auto"/>
              <w:ind w:left="186"/>
              <w:rPr>
                <w:rFonts w:eastAsia="Arial" w:cs="Arial"/>
                <w:sz w:val="24"/>
                <w:szCs w:val="24"/>
              </w:rPr>
            </w:pPr>
            <w:r w:rsidRPr="00AF4CC9">
              <w:rPr>
                <w:rFonts w:eastAsia="Calibri" w:cs="Times New Roman"/>
                <w:w w:val="105"/>
                <w:sz w:val="24"/>
                <w:szCs w:val="24"/>
              </w:rPr>
              <w:t>Emergency</w:t>
            </w:r>
            <w:r w:rsidRPr="00AF4CC9">
              <w:rPr>
                <w:rFonts w:eastAsia="Calibri" w:cs="Times New Roman"/>
                <w:spacing w:val="-9"/>
                <w:w w:val="105"/>
                <w:sz w:val="24"/>
                <w:szCs w:val="24"/>
              </w:rPr>
              <w:t xml:space="preserve"> </w:t>
            </w:r>
            <w:r w:rsidRPr="00AF4CC9">
              <w:rPr>
                <w:rFonts w:eastAsia="Calibri" w:cs="Times New Roman"/>
                <w:w w:val="105"/>
                <w:sz w:val="24"/>
                <w:szCs w:val="24"/>
              </w:rPr>
              <w:t>Housing</w:t>
            </w:r>
            <w:r w:rsidRPr="00AF4CC9">
              <w:rPr>
                <w:rFonts w:eastAsia="Calibri" w:cs="Times New Roman"/>
                <w:spacing w:val="-9"/>
                <w:w w:val="105"/>
                <w:sz w:val="24"/>
                <w:szCs w:val="24"/>
              </w:rPr>
              <w:t xml:space="preserve"> </w:t>
            </w:r>
            <w:r w:rsidRPr="00AF4CC9">
              <w:rPr>
                <w:rFonts w:eastAsia="Calibri" w:cs="Times New Roman"/>
                <w:w w:val="105"/>
                <w:position w:val="10"/>
                <w:sz w:val="24"/>
                <w:szCs w:val="24"/>
              </w:rPr>
              <w:t>1</w:t>
            </w:r>
          </w:p>
        </w:tc>
        <w:tc>
          <w:tcPr>
            <w:tcW w:w="3627" w:type="dxa"/>
            <w:tcBorders>
              <w:top w:val="single" w:sz="6" w:space="0" w:color="000000"/>
              <w:left w:val="single" w:sz="6" w:space="0" w:color="000000"/>
              <w:bottom w:val="single" w:sz="6" w:space="0" w:color="000000"/>
              <w:right w:val="single" w:sz="9" w:space="0" w:color="000000"/>
            </w:tcBorders>
          </w:tcPr>
          <w:p w:rsidR="00F36444" w:rsidRPr="00AF4CC9" w:rsidRDefault="00F36444" w:rsidP="00F36444">
            <w:pPr>
              <w:widowControl w:val="0"/>
              <w:spacing w:before="69" w:after="0" w:line="240" w:lineRule="auto"/>
              <w:ind w:left="107"/>
              <w:rPr>
                <w:rFonts w:eastAsia="Arial" w:cs="Arial"/>
                <w:sz w:val="24"/>
                <w:szCs w:val="24"/>
              </w:rPr>
            </w:pPr>
            <w:r w:rsidRPr="00AF4CC9">
              <w:rPr>
                <w:rFonts w:eastAsia="Calibri" w:cs="Times New Roman"/>
                <w:w w:val="105"/>
                <w:sz w:val="24"/>
                <w:szCs w:val="24"/>
              </w:rPr>
              <w:t>$600</w:t>
            </w:r>
          </w:p>
        </w:tc>
        <w:tc>
          <w:tcPr>
            <w:tcW w:w="2435" w:type="dxa"/>
            <w:tcBorders>
              <w:top w:val="single" w:sz="6" w:space="0" w:color="000000"/>
              <w:left w:val="single" w:sz="9" w:space="0" w:color="000000"/>
              <w:bottom w:val="single" w:sz="6" w:space="0" w:color="000000"/>
              <w:right w:val="single" w:sz="6" w:space="0" w:color="000000"/>
            </w:tcBorders>
          </w:tcPr>
          <w:p w:rsidR="00F36444" w:rsidRPr="00AF4CC9" w:rsidRDefault="00F36444" w:rsidP="00F36444">
            <w:pPr>
              <w:widowControl w:val="0"/>
              <w:spacing w:before="69" w:after="0" w:line="240" w:lineRule="auto"/>
              <w:ind w:left="89"/>
              <w:rPr>
                <w:rFonts w:eastAsia="Arial" w:cs="Arial"/>
                <w:sz w:val="24"/>
                <w:szCs w:val="24"/>
              </w:rPr>
            </w:pPr>
            <w:r w:rsidRPr="00AF4CC9">
              <w:rPr>
                <w:rFonts w:eastAsia="Calibri" w:cs="Times New Roman"/>
                <w:sz w:val="24"/>
                <w:szCs w:val="24"/>
              </w:rPr>
              <w:t xml:space="preserve">Administrative </w:t>
            </w:r>
            <w:r w:rsidRPr="00AF4CC9">
              <w:rPr>
                <w:rFonts w:eastAsia="Calibri" w:cs="Times New Roman"/>
                <w:spacing w:val="19"/>
                <w:sz w:val="24"/>
                <w:szCs w:val="24"/>
              </w:rPr>
              <w:t xml:space="preserve"> </w:t>
            </w:r>
            <w:r w:rsidRPr="00AF4CC9">
              <w:rPr>
                <w:rFonts w:eastAsia="Calibri" w:cs="Times New Roman"/>
                <w:sz w:val="24"/>
                <w:szCs w:val="24"/>
              </w:rPr>
              <w:t>Entity</w:t>
            </w:r>
          </w:p>
        </w:tc>
      </w:tr>
      <w:tr w:rsidR="00F36444" w:rsidRPr="00AF4CC9" w:rsidTr="00F36444">
        <w:trPr>
          <w:trHeight w:hRule="exact" w:val="381"/>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9" w:after="0" w:line="240" w:lineRule="auto"/>
              <w:ind w:left="186"/>
              <w:rPr>
                <w:rFonts w:eastAsia="Arial" w:cs="Arial"/>
                <w:sz w:val="24"/>
                <w:szCs w:val="24"/>
              </w:rPr>
            </w:pPr>
            <w:r w:rsidRPr="00AF4CC9">
              <w:rPr>
                <w:rFonts w:eastAsia="Calibri" w:cs="Times New Roman"/>
                <w:w w:val="105"/>
                <w:sz w:val="24"/>
                <w:szCs w:val="24"/>
              </w:rPr>
              <w:t>Ch</w:t>
            </w:r>
            <w:r w:rsidRPr="00AF4CC9">
              <w:rPr>
                <w:rFonts w:eastAsia="Calibri" w:cs="Times New Roman"/>
                <w:spacing w:val="-6"/>
                <w:w w:val="105"/>
                <w:sz w:val="24"/>
                <w:szCs w:val="24"/>
              </w:rPr>
              <w:t>i</w:t>
            </w:r>
            <w:r w:rsidRPr="00AF4CC9">
              <w:rPr>
                <w:rFonts w:eastAsia="Calibri" w:cs="Times New Roman"/>
                <w:spacing w:val="-20"/>
                <w:w w:val="105"/>
                <w:sz w:val="24"/>
                <w:szCs w:val="24"/>
              </w:rPr>
              <w:t>l</w:t>
            </w:r>
            <w:r w:rsidRPr="00AF4CC9">
              <w:rPr>
                <w:rFonts w:eastAsia="Calibri" w:cs="Times New Roman"/>
                <w:w w:val="105"/>
                <w:sz w:val="24"/>
                <w:szCs w:val="24"/>
              </w:rPr>
              <w:t>d</w:t>
            </w:r>
            <w:r w:rsidRPr="00AF4CC9">
              <w:rPr>
                <w:rFonts w:eastAsia="Calibri" w:cs="Times New Roman"/>
                <w:spacing w:val="8"/>
                <w:w w:val="105"/>
                <w:sz w:val="24"/>
                <w:szCs w:val="24"/>
              </w:rPr>
              <w:t xml:space="preserve"> </w:t>
            </w:r>
            <w:r w:rsidRPr="00AF4CC9">
              <w:rPr>
                <w:rFonts w:eastAsia="Calibri" w:cs="Times New Roman"/>
                <w:w w:val="105"/>
                <w:sz w:val="24"/>
                <w:szCs w:val="24"/>
              </w:rPr>
              <w:t>Care</w:t>
            </w:r>
          </w:p>
        </w:tc>
        <w:tc>
          <w:tcPr>
            <w:tcW w:w="3627" w:type="dxa"/>
            <w:tcBorders>
              <w:top w:val="single" w:sz="6" w:space="0" w:color="000000"/>
              <w:left w:val="single" w:sz="6" w:space="0" w:color="000000"/>
              <w:bottom w:val="single" w:sz="6" w:space="0" w:color="000000"/>
              <w:right w:val="single" w:sz="9" w:space="0" w:color="000000"/>
            </w:tcBorders>
          </w:tcPr>
          <w:p w:rsidR="00F36444" w:rsidRPr="00AF4CC9" w:rsidRDefault="00F36444" w:rsidP="00F36444">
            <w:pPr>
              <w:widowControl w:val="0"/>
              <w:spacing w:before="69" w:after="0" w:line="240" w:lineRule="auto"/>
              <w:ind w:left="114"/>
              <w:rPr>
                <w:rFonts w:eastAsia="Arial" w:cs="Arial"/>
                <w:sz w:val="24"/>
                <w:szCs w:val="24"/>
              </w:rPr>
            </w:pPr>
            <w:r w:rsidRPr="00AF4CC9">
              <w:rPr>
                <w:rFonts w:eastAsia="Calibri" w:cs="Times New Roman"/>
                <w:w w:val="105"/>
                <w:sz w:val="24"/>
                <w:szCs w:val="24"/>
              </w:rPr>
              <w:t>$3/hour/ch</w:t>
            </w:r>
            <w:r w:rsidRPr="00AF4CC9">
              <w:rPr>
                <w:rFonts w:eastAsia="Calibri" w:cs="Times New Roman"/>
                <w:spacing w:val="15"/>
                <w:w w:val="105"/>
                <w:sz w:val="24"/>
                <w:szCs w:val="24"/>
              </w:rPr>
              <w:t>i</w:t>
            </w:r>
            <w:r w:rsidRPr="00AF4CC9">
              <w:rPr>
                <w:rFonts w:eastAsia="Calibri" w:cs="Times New Roman"/>
                <w:spacing w:val="-20"/>
                <w:w w:val="105"/>
                <w:sz w:val="24"/>
                <w:szCs w:val="24"/>
              </w:rPr>
              <w:t>l</w:t>
            </w:r>
            <w:r w:rsidRPr="00AF4CC9">
              <w:rPr>
                <w:rFonts w:eastAsia="Calibri" w:cs="Times New Roman"/>
                <w:w w:val="105"/>
                <w:sz w:val="24"/>
                <w:szCs w:val="24"/>
              </w:rPr>
              <w:t>d</w:t>
            </w:r>
            <w:r w:rsidRPr="00AF4CC9">
              <w:rPr>
                <w:rFonts w:eastAsia="Calibri" w:cs="Times New Roman"/>
                <w:spacing w:val="-35"/>
                <w:w w:val="105"/>
                <w:sz w:val="24"/>
                <w:szCs w:val="24"/>
              </w:rPr>
              <w:t xml:space="preserve"> </w:t>
            </w:r>
            <w:r w:rsidRPr="00AF4CC9">
              <w:rPr>
                <w:rFonts w:eastAsia="Calibri" w:cs="Times New Roman"/>
                <w:w w:val="105"/>
                <w:sz w:val="24"/>
                <w:szCs w:val="24"/>
              </w:rPr>
              <w:t>or</w:t>
            </w:r>
            <w:r w:rsidRPr="00AF4CC9">
              <w:rPr>
                <w:rFonts w:eastAsia="Calibri" w:cs="Times New Roman"/>
                <w:spacing w:val="-30"/>
                <w:w w:val="105"/>
                <w:sz w:val="24"/>
                <w:szCs w:val="24"/>
              </w:rPr>
              <w:t xml:space="preserve"> </w:t>
            </w:r>
            <w:r w:rsidRPr="00AF4CC9">
              <w:rPr>
                <w:rFonts w:eastAsia="Calibri" w:cs="Times New Roman"/>
                <w:w w:val="105"/>
                <w:sz w:val="24"/>
                <w:szCs w:val="24"/>
              </w:rPr>
              <w:t>$1,000/family</w:t>
            </w:r>
          </w:p>
        </w:tc>
        <w:tc>
          <w:tcPr>
            <w:tcW w:w="2435" w:type="dxa"/>
            <w:tcBorders>
              <w:top w:val="single" w:sz="6" w:space="0" w:color="000000"/>
              <w:left w:val="single" w:sz="9" w:space="0" w:color="000000"/>
              <w:bottom w:val="single" w:sz="6" w:space="0" w:color="000000"/>
              <w:right w:val="single" w:sz="6" w:space="0" w:color="000000"/>
            </w:tcBorders>
          </w:tcPr>
          <w:p w:rsidR="00F36444" w:rsidRPr="00AF4CC9" w:rsidRDefault="00F36444" w:rsidP="00F36444">
            <w:pPr>
              <w:widowControl w:val="0"/>
              <w:spacing w:before="69" w:after="0" w:line="240" w:lineRule="auto"/>
              <w:ind w:left="89"/>
              <w:rPr>
                <w:rFonts w:eastAsia="Arial" w:cs="Arial"/>
                <w:sz w:val="24"/>
                <w:szCs w:val="24"/>
              </w:rPr>
            </w:pPr>
            <w:r w:rsidRPr="00AF4CC9">
              <w:rPr>
                <w:rFonts w:eastAsia="Calibri" w:cs="Times New Roman"/>
                <w:w w:val="105"/>
                <w:sz w:val="24"/>
                <w:szCs w:val="24"/>
              </w:rPr>
              <w:t>Administrative</w:t>
            </w:r>
            <w:r w:rsidRPr="00AF4CC9">
              <w:rPr>
                <w:rFonts w:eastAsia="Calibri" w:cs="Times New Roman"/>
                <w:spacing w:val="4"/>
                <w:w w:val="105"/>
                <w:sz w:val="24"/>
                <w:szCs w:val="24"/>
              </w:rPr>
              <w:t xml:space="preserve"> </w:t>
            </w:r>
            <w:r w:rsidRPr="00AF4CC9">
              <w:rPr>
                <w:rFonts w:eastAsia="Calibri" w:cs="Times New Roman"/>
                <w:spacing w:val="-4"/>
                <w:w w:val="105"/>
                <w:sz w:val="24"/>
                <w:szCs w:val="24"/>
              </w:rPr>
              <w:t>Entity</w:t>
            </w:r>
          </w:p>
        </w:tc>
      </w:tr>
      <w:tr w:rsidR="00F36444" w:rsidRPr="00AF4CC9" w:rsidTr="00F36444">
        <w:trPr>
          <w:trHeight w:hRule="exact" w:val="385"/>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9" w:after="0" w:line="240" w:lineRule="auto"/>
              <w:ind w:left="193"/>
              <w:rPr>
                <w:rFonts w:eastAsia="Arial" w:cs="Arial"/>
                <w:sz w:val="24"/>
                <w:szCs w:val="24"/>
              </w:rPr>
            </w:pPr>
            <w:r w:rsidRPr="00AF4CC9">
              <w:rPr>
                <w:rFonts w:eastAsia="Calibri" w:cs="Times New Roman"/>
                <w:w w:val="105"/>
                <w:sz w:val="24"/>
                <w:szCs w:val="24"/>
              </w:rPr>
              <w:t>Dependent</w:t>
            </w:r>
            <w:r w:rsidRPr="00AF4CC9">
              <w:rPr>
                <w:rFonts w:eastAsia="Calibri" w:cs="Times New Roman"/>
                <w:spacing w:val="-30"/>
                <w:w w:val="105"/>
                <w:sz w:val="24"/>
                <w:szCs w:val="24"/>
              </w:rPr>
              <w:t xml:space="preserve"> </w:t>
            </w:r>
            <w:r w:rsidRPr="00AF4CC9">
              <w:rPr>
                <w:rFonts w:eastAsia="Calibri" w:cs="Times New Roman"/>
                <w:w w:val="105"/>
                <w:sz w:val="24"/>
                <w:szCs w:val="24"/>
              </w:rPr>
              <w:t>Care</w:t>
            </w:r>
          </w:p>
        </w:tc>
        <w:tc>
          <w:tcPr>
            <w:tcW w:w="3627"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9" w:after="0" w:line="240" w:lineRule="auto"/>
              <w:ind w:left="114"/>
              <w:rPr>
                <w:rFonts w:eastAsia="Arial" w:cs="Arial"/>
                <w:sz w:val="24"/>
                <w:szCs w:val="24"/>
              </w:rPr>
            </w:pPr>
            <w:r w:rsidRPr="00AF4CC9">
              <w:rPr>
                <w:rFonts w:eastAsia="Calibri" w:cs="Times New Roman"/>
                <w:sz w:val="24"/>
                <w:szCs w:val="24"/>
              </w:rPr>
              <w:t>$4/hour/member</w:t>
            </w:r>
            <w:r w:rsidRPr="00AF4CC9">
              <w:rPr>
                <w:rFonts w:eastAsia="Calibri" w:cs="Times New Roman"/>
                <w:spacing w:val="49"/>
                <w:sz w:val="24"/>
                <w:szCs w:val="24"/>
              </w:rPr>
              <w:t xml:space="preserve"> </w:t>
            </w:r>
            <w:r w:rsidRPr="00AF4CC9">
              <w:rPr>
                <w:rFonts w:eastAsia="Calibri" w:cs="Times New Roman"/>
                <w:sz w:val="24"/>
                <w:szCs w:val="24"/>
              </w:rPr>
              <w:t>or</w:t>
            </w:r>
            <w:r w:rsidRPr="00AF4CC9">
              <w:rPr>
                <w:rFonts w:eastAsia="Calibri" w:cs="Times New Roman"/>
                <w:spacing w:val="28"/>
                <w:sz w:val="24"/>
                <w:szCs w:val="24"/>
              </w:rPr>
              <w:t xml:space="preserve"> </w:t>
            </w:r>
            <w:r w:rsidRPr="00AF4CC9">
              <w:rPr>
                <w:rFonts w:eastAsia="Calibri" w:cs="Times New Roman"/>
                <w:sz w:val="24"/>
                <w:szCs w:val="24"/>
              </w:rPr>
              <w:t>$1,500/family</w:t>
            </w:r>
          </w:p>
        </w:tc>
        <w:tc>
          <w:tcPr>
            <w:tcW w:w="2435"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9" w:after="0" w:line="240" w:lineRule="auto"/>
              <w:ind w:left="100"/>
              <w:rPr>
                <w:rFonts w:eastAsia="Arial" w:cs="Arial"/>
                <w:sz w:val="24"/>
                <w:szCs w:val="24"/>
              </w:rPr>
            </w:pPr>
            <w:r w:rsidRPr="00AF4CC9">
              <w:rPr>
                <w:rFonts w:eastAsia="Calibri" w:cs="Times New Roman"/>
                <w:sz w:val="24"/>
                <w:szCs w:val="24"/>
              </w:rPr>
              <w:t xml:space="preserve">Administrative </w:t>
            </w:r>
            <w:r w:rsidRPr="00AF4CC9">
              <w:rPr>
                <w:rFonts w:eastAsia="Calibri" w:cs="Times New Roman"/>
                <w:spacing w:val="19"/>
                <w:sz w:val="24"/>
                <w:szCs w:val="24"/>
              </w:rPr>
              <w:t xml:space="preserve"> </w:t>
            </w:r>
            <w:r w:rsidRPr="00AF4CC9">
              <w:rPr>
                <w:rFonts w:eastAsia="Calibri" w:cs="Times New Roman"/>
                <w:sz w:val="24"/>
                <w:szCs w:val="24"/>
              </w:rPr>
              <w:t>Entity</w:t>
            </w:r>
          </w:p>
        </w:tc>
      </w:tr>
      <w:tr w:rsidR="00F36444" w:rsidRPr="00AF4CC9" w:rsidTr="00F36444">
        <w:trPr>
          <w:trHeight w:hRule="exact" w:val="381"/>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5" w:after="0" w:line="240" w:lineRule="auto"/>
              <w:ind w:left="193"/>
              <w:rPr>
                <w:rFonts w:eastAsia="Arial" w:cs="Arial"/>
                <w:sz w:val="24"/>
                <w:szCs w:val="24"/>
              </w:rPr>
            </w:pPr>
            <w:r w:rsidRPr="00AF4CC9">
              <w:rPr>
                <w:rFonts w:eastAsia="Calibri" w:cs="Times New Roman"/>
                <w:sz w:val="24"/>
                <w:szCs w:val="24"/>
              </w:rPr>
              <w:t xml:space="preserve">Health/Medical </w:t>
            </w:r>
            <w:r w:rsidRPr="00AF4CC9">
              <w:rPr>
                <w:rFonts w:eastAsia="Calibri" w:cs="Times New Roman"/>
                <w:spacing w:val="8"/>
                <w:sz w:val="24"/>
                <w:szCs w:val="24"/>
              </w:rPr>
              <w:t xml:space="preserve"> </w:t>
            </w:r>
            <w:r w:rsidRPr="00AF4CC9">
              <w:rPr>
                <w:rFonts w:eastAsia="Calibri" w:cs="Times New Roman"/>
                <w:spacing w:val="-1"/>
                <w:sz w:val="24"/>
                <w:szCs w:val="24"/>
              </w:rPr>
              <w:t>Services</w:t>
            </w:r>
          </w:p>
        </w:tc>
        <w:tc>
          <w:tcPr>
            <w:tcW w:w="3627"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5" w:after="0" w:line="240" w:lineRule="auto"/>
              <w:ind w:left="114"/>
              <w:rPr>
                <w:rFonts w:eastAsia="Arial" w:cs="Arial"/>
                <w:sz w:val="24"/>
                <w:szCs w:val="24"/>
              </w:rPr>
            </w:pPr>
            <w:r w:rsidRPr="00AF4CC9">
              <w:rPr>
                <w:rFonts w:eastAsia="Calibri" w:cs="Times New Roman"/>
                <w:w w:val="105"/>
                <w:sz w:val="24"/>
                <w:szCs w:val="24"/>
              </w:rPr>
              <w:t>$250/visit and</w:t>
            </w:r>
            <w:r w:rsidRPr="00AF4CC9">
              <w:rPr>
                <w:rFonts w:eastAsia="Calibri" w:cs="Times New Roman"/>
                <w:spacing w:val="-15"/>
                <w:w w:val="105"/>
                <w:sz w:val="24"/>
                <w:szCs w:val="24"/>
              </w:rPr>
              <w:t xml:space="preserve"> </w:t>
            </w:r>
            <w:r w:rsidRPr="00AF4CC9">
              <w:rPr>
                <w:rFonts w:eastAsia="Calibri" w:cs="Times New Roman"/>
                <w:w w:val="105"/>
                <w:sz w:val="24"/>
                <w:szCs w:val="24"/>
              </w:rPr>
              <w:t>$600</w:t>
            </w:r>
            <w:r w:rsidRPr="00AF4CC9">
              <w:rPr>
                <w:rFonts w:eastAsia="Calibri" w:cs="Times New Roman"/>
                <w:spacing w:val="-16"/>
                <w:w w:val="105"/>
                <w:sz w:val="24"/>
                <w:szCs w:val="24"/>
              </w:rPr>
              <w:t xml:space="preserve"> </w:t>
            </w:r>
            <w:r w:rsidRPr="00AF4CC9">
              <w:rPr>
                <w:rFonts w:eastAsia="Calibri" w:cs="Times New Roman"/>
                <w:w w:val="105"/>
                <w:sz w:val="24"/>
                <w:szCs w:val="24"/>
              </w:rPr>
              <w:t>total</w:t>
            </w:r>
          </w:p>
        </w:tc>
        <w:tc>
          <w:tcPr>
            <w:tcW w:w="2435"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65" w:after="0" w:line="240" w:lineRule="auto"/>
              <w:ind w:left="100"/>
              <w:rPr>
                <w:rFonts w:eastAsia="Arial" w:cs="Arial"/>
                <w:sz w:val="24"/>
                <w:szCs w:val="24"/>
              </w:rPr>
            </w:pPr>
            <w:r w:rsidRPr="00AF4CC9">
              <w:rPr>
                <w:rFonts w:eastAsia="Calibri" w:cs="Times New Roman"/>
                <w:w w:val="105"/>
                <w:sz w:val="24"/>
                <w:szCs w:val="24"/>
              </w:rPr>
              <w:t>Administrative</w:t>
            </w:r>
            <w:r w:rsidRPr="00AF4CC9">
              <w:rPr>
                <w:rFonts w:eastAsia="Calibri" w:cs="Times New Roman"/>
                <w:spacing w:val="-12"/>
                <w:w w:val="105"/>
                <w:sz w:val="24"/>
                <w:szCs w:val="24"/>
              </w:rPr>
              <w:t xml:space="preserve"> </w:t>
            </w:r>
            <w:r w:rsidRPr="00AF4CC9">
              <w:rPr>
                <w:rFonts w:eastAsia="Calibri" w:cs="Times New Roman"/>
                <w:w w:val="105"/>
                <w:sz w:val="24"/>
                <w:szCs w:val="24"/>
              </w:rPr>
              <w:t>Entity</w:t>
            </w:r>
          </w:p>
        </w:tc>
      </w:tr>
      <w:tr w:rsidR="00F36444" w:rsidRPr="00AF4CC9" w:rsidTr="00F36444">
        <w:trPr>
          <w:trHeight w:hRule="exact" w:val="514"/>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8" w:after="0" w:line="242" w:lineRule="auto"/>
              <w:ind w:left="201" w:right="942"/>
              <w:rPr>
                <w:rFonts w:eastAsia="Arial" w:cs="Arial"/>
                <w:sz w:val="24"/>
                <w:szCs w:val="24"/>
              </w:rPr>
            </w:pPr>
            <w:r w:rsidRPr="00AF4CC9">
              <w:rPr>
                <w:rFonts w:eastAsia="Calibri" w:cs="Times New Roman"/>
                <w:sz w:val="24"/>
                <w:szCs w:val="24"/>
              </w:rPr>
              <w:t>Protective</w:t>
            </w:r>
            <w:r w:rsidRPr="00AF4CC9">
              <w:rPr>
                <w:rFonts w:eastAsia="Calibri" w:cs="Times New Roman"/>
                <w:spacing w:val="43"/>
                <w:sz w:val="24"/>
                <w:szCs w:val="24"/>
              </w:rPr>
              <w:t xml:space="preserve"> </w:t>
            </w:r>
            <w:r w:rsidRPr="00AF4CC9">
              <w:rPr>
                <w:rFonts w:eastAsia="Calibri" w:cs="Times New Roman"/>
                <w:spacing w:val="-2"/>
                <w:sz w:val="24"/>
                <w:szCs w:val="24"/>
              </w:rPr>
              <w:t>Clothing,</w:t>
            </w:r>
            <w:r w:rsidRPr="00AF4CC9">
              <w:rPr>
                <w:rFonts w:eastAsia="Calibri" w:cs="Times New Roman"/>
                <w:spacing w:val="3"/>
                <w:sz w:val="24"/>
                <w:szCs w:val="24"/>
              </w:rPr>
              <w:t xml:space="preserve"> </w:t>
            </w:r>
            <w:r w:rsidRPr="00AF4CC9">
              <w:rPr>
                <w:rFonts w:eastAsia="Calibri" w:cs="Times New Roman"/>
                <w:sz w:val="24"/>
                <w:szCs w:val="24"/>
              </w:rPr>
              <w:t>Tools</w:t>
            </w:r>
            <w:r w:rsidRPr="00AF4CC9">
              <w:rPr>
                <w:rFonts w:eastAsia="Calibri" w:cs="Times New Roman"/>
                <w:spacing w:val="40"/>
                <w:sz w:val="24"/>
                <w:szCs w:val="24"/>
              </w:rPr>
              <w:t xml:space="preserve"> </w:t>
            </w:r>
            <w:r w:rsidRPr="00AF4CC9">
              <w:rPr>
                <w:rFonts w:eastAsia="Calibri" w:cs="Times New Roman"/>
                <w:sz w:val="24"/>
                <w:szCs w:val="24"/>
              </w:rPr>
              <w:t>&amp;</w:t>
            </w:r>
            <w:r w:rsidRPr="00AF4CC9">
              <w:rPr>
                <w:rFonts w:eastAsia="Calibri" w:cs="Times New Roman"/>
                <w:spacing w:val="28"/>
                <w:w w:val="99"/>
                <w:sz w:val="24"/>
                <w:szCs w:val="24"/>
              </w:rPr>
              <w:t xml:space="preserve"> </w:t>
            </w:r>
            <w:r w:rsidRPr="00AF4CC9">
              <w:rPr>
                <w:rFonts w:eastAsia="Calibri" w:cs="Times New Roman"/>
                <w:sz w:val="24"/>
                <w:szCs w:val="24"/>
              </w:rPr>
              <w:t>Equipment</w:t>
            </w:r>
          </w:p>
        </w:tc>
        <w:tc>
          <w:tcPr>
            <w:tcW w:w="3627"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130" w:after="0" w:line="240" w:lineRule="auto"/>
              <w:ind w:left="122"/>
              <w:rPr>
                <w:rFonts w:eastAsia="Arial" w:cs="Arial"/>
                <w:sz w:val="24"/>
                <w:szCs w:val="24"/>
              </w:rPr>
            </w:pPr>
            <w:r w:rsidRPr="00AF4CC9">
              <w:rPr>
                <w:rFonts w:eastAsia="Calibri" w:cs="Times New Roman"/>
                <w:w w:val="105"/>
                <w:sz w:val="24"/>
                <w:szCs w:val="24"/>
              </w:rPr>
              <w:t>$600</w:t>
            </w:r>
          </w:p>
        </w:tc>
        <w:tc>
          <w:tcPr>
            <w:tcW w:w="2435"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130" w:after="0" w:line="240" w:lineRule="auto"/>
              <w:ind w:left="100"/>
              <w:rPr>
                <w:rFonts w:eastAsia="Arial" w:cs="Arial"/>
                <w:sz w:val="24"/>
                <w:szCs w:val="24"/>
              </w:rPr>
            </w:pPr>
            <w:r w:rsidRPr="00AF4CC9">
              <w:rPr>
                <w:rFonts w:eastAsia="Calibri" w:cs="Times New Roman"/>
                <w:w w:val="105"/>
                <w:sz w:val="24"/>
                <w:szCs w:val="24"/>
              </w:rPr>
              <w:t>Administrative</w:t>
            </w:r>
            <w:r w:rsidRPr="00AF4CC9">
              <w:rPr>
                <w:rFonts w:eastAsia="Calibri" w:cs="Times New Roman"/>
                <w:spacing w:val="-3"/>
                <w:w w:val="105"/>
                <w:sz w:val="24"/>
                <w:szCs w:val="24"/>
              </w:rPr>
              <w:t xml:space="preserve"> </w:t>
            </w:r>
            <w:r w:rsidRPr="00AF4CC9">
              <w:rPr>
                <w:rFonts w:eastAsia="Calibri" w:cs="Times New Roman"/>
                <w:spacing w:val="-4"/>
                <w:w w:val="105"/>
                <w:sz w:val="24"/>
                <w:szCs w:val="24"/>
              </w:rPr>
              <w:t>Enti</w:t>
            </w:r>
            <w:r w:rsidRPr="00AF4CC9">
              <w:rPr>
                <w:rFonts w:eastAsia="Calibri" w:cs="Times New Roman"/>
                <w:spacing w:val="-3"/>
                <w:w w:val="105"/>
                <w:sz w:val="24"/>
                <w:szCs w:val="24"/>
              </w:rPr>
              <w:t>ty</w:t>
            </w:r>
          </w:p>
        </w:tc>
      </w:tr>
      <w:tr w:rsidR="00F36444" w:rsidRPr="00AF4CC9" w:rsidTr="00F36444">
        <w:trPr>
          <w:trHeight w:hRule="exact" w:val="442"/>
        </w:trPr>
        <w:tc>
          <w:tcPr>
            <w:tcW w:w="3850" w:type="dxa"/>
            <w:tcBorders>
              <w:top w:val="single" w:sz="6" w:space="0" w:color="000000"/>
              <w:left w:val="single" w:sz="6" w:space="0" w:color="000000"/>
              <w:bottom w:val="single" w:sz="6" w:space="0" w:color="000000"/>
              <w:right w:val="single" w:sz="9" w:space="0" w:color="000000"/>
            </w:tcBorders>
          </w:tcPr>
          <w:p w:rsidR="00F36444" w:rsidRPr="00AF4CC9" w:rsidRDefault="00F36444" w:rsidP="00F36444">
            <w:pPr>
              <w:widowControl w:val="0"/>
              <w:spacing w:before="98" w:after="0" w:line="240" w:lineRule="auto"/>
              <w:ind w:left="201"/>
              <w:rPr>
                <w:rFonts w:eastAsia="Arial" w:cs="Arial"/>
                <w:sz w:val="24"/>
                <w:szCs w:val="24"/>
              </w:rPr>
            </w:pPr>
            <w:r w:rsidRPr="00AF4CC9">
              <w:rPr>
                <w:rFonts w:eastAsia="Calibri" w:cs="Times New Roman"/>
                <w:w w:val="105"/>
                <w:sz w:val="24"/>
                <w:szCs w:val="24"/>
              </w:rPr>
              <w:t>Linkage</w:t>
            </w:r>
            <w:r w:rsidRPr="00AF4CC9">
              <w:rPr>
                <w:rFonts w:eastAsia="Calibri" w:cs="Times New Roman"/>
                <w:spacing w:val="-24"/>
                <w:w w:val="105"/>
                <w:sz w:val="24"/>
                <w:szCs w:val="24"/>
              </w:rPr>
              <w:t xml:space="preserve"> </w:t>
            </w:r>
            <w:r w:rsidRPr="00AF4CC9">
              <w:rPr>
                <w:rFonts w:eastAsia="Calibri" w:cs="Times New Roman"/>
                <w:w w:val="105"/>
                <w:sz w:val="24"/>
                <w:szCs w:val="24"/>
              </w:rPr>
              <w:t>to</w:t>
            </w:r>
            <w:r w:rsidRPr="00AF4CC9">
              <w:rPr>
                <w:rFonts w:eastAsia="Calibri" w:cs="Times New Roman"/>
                <w:spacing w:val="-17"/>
                <w:w w:val="105"/>
                <w:sz w:val="24"/>
                <w:szCs w:val="24"/>
              </w:rPr>
              <w:t xml:space="preserve"> </w:t>
            </w:r>
            <w:r w:rsidRPr="00AF4CC9">
              <w:rPr>
                <w:rFonts w:eastAsia="Calibri" w:cs="Times New Roman"/>
                <w:w w:val="105"/>
                <w:sz w:val="24"/>
                <w:szCs w:val="24"/>
              </w:rPr>
              <w:t>Community</w:t>
            </w:r>
            <w:r w:rsidRPr="00AF4CC9">
              <w:rPr>
                <w:rFonts w:eastAsia="Calibri" w:cs="Times New Roman"/>
                <w:spacing w:val="-6"/>
                <w:w w:val="105"/>
                <w:sz w:val="24"/>
                <w:szCs w:val="24"/>
              </w:rPr>
              <w:t xml:space="preserve"> </w:t>
            </w:r>
            <w:r w:rsidRPr="00AF4CC9">
              <w:rPr>
                <w:rFonts w:eastAsia="Calibri" w:cs="Times New Roman"/>
                <w:spacing w:val="-1"/>
                <w:w w:val="105"/>
                <w:sz w:val="24"/>
                <w:szCs w:val="24"/>
              </w:rPr>
              <w:t>Services</w:t>
            </w:r>
          </w:p>
        </w:tc>
        <w:tc>
          <w:tcPr>
            <w:tcW w:w="3627" w:type="dxa"/>
            <w:tcBorders>
              <w:top w:val="single" w:sz="6" w:space="0" w:color="000000"/>
              <w:left w:val="single" w:sz="9" w:space="0" w:color="000000"/>
              <w:bottom w:val="single" w:sz="6" w:space="0" w:color="000000"/>
              <w:right w:val="single" w:sz="6" w:space="0" w:color="000000"/>
            </w:tcBorders>
          </w:tcPr>
          <w:p w:rsidR="00F36444" w:rsidRPr="00AF4CC9" w:rsidRDefault="00F36444" w:rsidP="00F36444">
            <w:pPr>
              <w:widowControl w:val="0"/>
              <w:spacing w:before="98" w:after="0" w:line="240" w:lineRule="auto"/>
              <w:ind w:left="125"/>
              <w:rPr>
                <w:rFonts w:eastAsia="Arial" w:cs="Arial"/>
                <w:sz w:val="24"/>
                <w:szCs w:val="24"/>
              </w:rPr>
            </w:pPr>
            <w:r w:rsidRPr="00AF4CC9">
              <w:rPr>
                <w:rFonts w:eastAsia="Calibri" w:cs="Times New Roman"/>
                <w:w w:val="105"/>
                <w:sz w:val="24"/>
                <w:szCs w:val="24"/>
              </w:rPr>
              <w:t>None</w:t>
            </w:r>
          </w:p>
        </w:tc>
        <w:tc>
          <w:tcPr>
            <w:tcW w:w="2435"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98" w:after="0" w:line="240" w:lineRule="auto"/>
              <w:ind w:left="114"/>
              <w:rPr>
                <w:rFonts w:eastAsia="Arial" w:cs="Arial"/>
                <w:sz w:val="24"/>
                <w:szCs w:val="24"/>
              </w:rPr>
            </w:pPr>
            <w:r w:rsidRPr="00AF4CC9">
              <w:rPr>
                <w:rFonts w:eastAsia="Calibri" w:cs="Times New Roman"/>
                <w:w w:val="110"/>
                <w:sz w:val="24"/>
                <w:szCs w:val="24"/>
              </w:rPr>
              <w:t>N</w:t>
            </w:r>
            <w:r w:rsidRPr="00AF4CC9">
              <w:rPr>
                <w:rFonts w:eastAsia="Calibri" w:cs="Times New Roman"/>
                <w:spacing w:val="-32"/>
                <w:w w:val="110"/>
                <w:sz w:val="24"/>
                <w:szCs w:val="24"/>
              </w:rPr>
              <w:t xml:space="preserve"> </w:t>
            </w:r>
            <w:r w:rsidRPr="00AF4CC9">
              <w:rPr>
                <w:rFonts w:eastAsia="Calibri" w:cs="Times New Roman"/>
                <w:w w:val="110"/>
                <w:sz w:val="24"/>
                <w:szCs w:val="24"/>
              </w:rPr>
              <w:t>A</w:t>
            </w:r>
          </w:p>
        </w:tc>
      </w:tr>
      <w:tr w:rsidR="00F36444" w:rsidRPr="00AF4CC9" w:rsidTr="00F36444">
        <w:trPr>
          <w:trHeight w:hRule="exact" w:val="493"/>
        </w:trPr>
        <w:tc>
          <w:tcPr>
            <w:tcW w:w="3850"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101" w:after="0" w:line="240" w:lineRule="auto"/>
              <w:ind w:left="201"/>
              <w:rPr>
                <w:rFonts w:eastAsia="Arial" w:cs="Arial"/>
                <w:sz w:val="24"/>
                <w:szCs w:val="24"/>
              </w:rPr>
            </w:pPr>
            <w:r w:rsidRPr="00AF4CC9">
              <w:rPr>
                <w:rFonts w:eastAsia="Calibri" w:cs="Times New Roman"/>
                <w:w w:val="105"/>
                <w:sz w:val="24"/>
                <w:szCs w:val="24"/>
              </w:rPr>
              <w:t>Car</w:t>
            </w:r>
            <w:r w:rsidRPr="00AF4CC9">
              <w:rPr>
                <w:rFonts w:eastAsia="Calibri" w:cs="Times New Roman"/>
                <w:spacing w:val="-15"/>
                <w:w w:val="105"/>
                <w:sz w:val="24"/>
                <w:szCs w:val="24"/>
              </w:rPr>
              <w:t xml:space="preserve"> </w:t>
            </w:r>
            <w:r w:rsidRPr="00AF4CC9">
              <w:rPr>
                <w:rFonts w:eastAsia="Calibri" w:cs="Times New Roman"/>
                <w:w w:val="105"/>
                <w:sz w:val="24"/>
                <w:szCs w:val="24"/>
              </w:rPr>
              <w:t>License</w:t>
            </w:r>
          </w:p>
        </w:tc>
        <w:tc>
          <w:tcPr>
            <w:tcW w:w="3627"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101" w:after="0" w:line="240" w:lineRule="auto"/>
              <w:ind w:left="136"/>
              <w:rPr>
                <w:rFonts w:eastAsia="Arial" w:cs="Arial"/>
                <w:sz w:val="24"/>
                <w:szCs w:val="24"/>
              </w:rPr>
            </w:pPr>
            <w:r w:rsidRPr="00AF4CC9">
              <w:rPr>
                <w:rFonts w:eastAsia="Calibri" w:cs="Times New Roman"/>
                <w:sz w:val="24"/>
                <w:szCs w:val="24"/>
              </w:rPr>
              <w:t>Not</w:t>
            </w:r>
            <w:r w:rsidRPr="00AF4CC9">
              <w:rPr>
                <w:rFonts w:eastAsia="Calibri" w:cs="Times New Roman"/>
                <w:spacing w:val="14"/>
                <w:sz w:val="24"/>
                <w:szCs w:val="24"/>
              </w:rPr>
              <w:t xml:space="preserve"> </w:t>
            </w:r>
            <w:r w:rsidRPr="00AF4CC9">
              <w:rPr>
                <w:rFonts w:eastAsia="Calibri" w:cs="Times New Roman"/>
                <w:sz w:val="24"/>
                <w:szCs w:val="24"/>
              </w:rPr>
              <w:t>Allowed</w:t>
            </w:r>
          </w:p>
        </w:tc>
        <w:tc>
          <w:tcPr>
            <w:tcW w:w="2435" w:type="dxa"/>
            <w:tcBorders>
              <w:top w:val="single" w:sz="6" w:space="0" w:color="000000"/>
              <w:left w:val="single" w:sz="6" w:space="0" w:color="000000"/>
              <w:bottom w:val="single" w:sz="6" w:space="0" w:color="000000"/>
              <w:right w:val="single" w:sz="6" w:space="0" w:color="000000"/>
            </w:tcBorders>
          </w:tcPr>
          <w:p w:rsidR="00F36444" w:rsidRPr="00AF4CC9" w:rsidRDefault="00F36444" w:rsidP="00F36444">
            <w:pPr>
              <w:widowControl w:val="0"/>
              <w:spacing w:before="101" w:after="0" w:line="240" w:lineRule="auto"/>
              <w:ind w:left="122"/>
              <w:rPr>
                <w:rFonts w:eastAsia="Arial" w:cs="Arial"/>
                <w:sz w:val="24"/>
                <w:szCs w:val="24"/>
              </w:rPr>
            </w:pPr>
            <w:r w:rsidRPr="00AF4CC9">
              <w:rPr>
                <w:rFonts w:eastAsia="Calibri" w:cs="Times New Roman"/>
                <w:w w:val="105"/>
                <w:sz w:val="24"/>
                <w:szCs w:val="24"/>
              </w:rPr>
              <w:t>N</w:t>
            </w:r>
            <w:r w:rsidRPr="00AF4CC9">
              <w:rPr>
                <w:rFonts w:eastAsia="Calibri" w:cs="Times New Roman"/>
                <w:spacing w:val="-22"/>
                <w:w w:val="105"/>
                <w:sz w:val="24"/>
                <w:szCs w:val="24"/>
              </w:rPr>
              <w:t xml:space="preserve"> </w:t>
            </w:r>
            <w:r w:rsidRPr="00AF4CC9">
              <w:rPr>
                <w:rFonts w:eastAsia="Calibri" w:cs="Times New Roman"/>
                <w:w w:val="105"/>
                <w:sz w:val="24"/>
                <w:szCs w:val="24"/>
              </w:rPr>
              <w:t>A</w:t>
            </w:r>
          </w:p>
        </w:tc>
      </w:tr>
    </w:tbl>
    <w:p w:rsidR="00F36444" w:rsidRPr="00AF4CC9" w:rsidRDefault="00F36444" w:rsidP="00F36444">
      <w:pPr>
        <w:rPr>
          <w:sz w:val="24"/>
          <w:szCs w:val="24"/>
        </w:rPr>
      </w:pPr>
    </w:p>
    <w:p w:rsidR="00F36444" w:rsidRPr="00AF4CC9" w:rsidRDefault="00F36444" w:rsidP="00F36444">
      <w:pPr>
        <w:rPr>
          <w:sz w:val="24"/>
          <w:szCs w:val="24"/>
        </w:rPr>
      </w:pPr>
      <w:r w:rsidRPr="00AF4CC9">
        <w:rPr>
          <w:sz w:val="24"/>
          <w:szCs w:val="24"/>
        </w:rPr>
        <w:t>1 The frequency of supportive services delivered to each client is based on their Individual Employment Plan (IEP) or Individual Service Strategy (ISS), with the exception of Emergency Housing.  Emergency Housing may be provided one time to each client.  Additional Emergency Housing supportive services must be approved by the Greater Nebraska Administrative Entity.</w:t>
      </w:r>
    </w:p>
    <w:p w:rsidR="00F36444" w:rsidRPr="00AF4CC9" w:rsidRDefault="00F36444" w:rsidP="00F36444">
      <w:pPr>
        <w:rPr>
          <w:sz w:val="24"/>
          <w:szCs w:val="24"/>
        </w:rPr>
      </w:pPr>
    </w:p>
    <w:p w:rsidR="00F36444" w:rsidRPr="00AF4CC9" w:rsidRDefault="00F36444" w:rsidP="00F36444">
      <w:pPr>
        <w:rPr>
          <w:sz w:val="24"/>
          <w:szCs w:val="24"/>
        </w:rPr>
      </w:pPr>
      <w:r w:rsidRPr="00AF4CC9">
        <w:rPr>
          <w:sz w:val="24"/>
          <w:szCs w:val="24"/>
        </w:rPr>
        <w:t>GENERAL INFORMATION ON SUPPORTIVE SERVICES RESOURCES</w:t>
      </w:r>
    </w:p>
    <w:p w:rsidR="00F36444" w:rsidRPr="00AF4CC9" w:rsidRDefault="00F36444" w:rsidP="00F36444">
      <w:pPr>
        <w:rPr>
          <w:sz w:val="24"/>
          <w:szCs w:val="24"/>
        </w:rPr>
      </w:pPr>
      <w:r w:rsidRPr="00AF4CC9">
        <w:rPr>
          <w:b/>
          <w:bCs/>
          <w:sz w:val="24"/>
          <w:szCs w:val="24"/>
        </w:rPr>
        <w:t>Forms</w:t>
      </w:r>
    </w:p>
    <w:p w:rsidR="00F36444" w:rsidRPr="00AF4CC9" w:rsidRDefault="00F36444" w:rsidP="00F36444">
      <w:pPr>
        <w:rPr>
          <w:sz w:val="24"/>
          <w:szCs w:val="24"/>
        </w:rPr>
      </w:pPr>
      <w:r w:rsidRPr="00AF4CC9">
        <w:rPr>
          <w:sz w:val="24"/>
          <w:szCs w:val="24"/>
        </w:rPr>
        <w:t xml:space="preserve">The following forms are </w:t>
      </w:r>
      <w:r w:rsidRPr="00AF4CC9">
        <w:rPr>
          <w:b/>
          <w:sz w:val="24"/>
          <w:szCs w:val="24"/>
          <w:u w:val="thick"/>
        </w:rPr>
        <w:t xml:space="preserve">required </w:t>
      </w:r>
      <w:r w:rsidRPr="00AF4CC9">
        <w:rPr>
          <w:sz w:val="24"/>
          <w:szCs w:val="24"/>
        </w:rPr>
        <w:t xml:space="preserve">to be used when delivering </w:t>
      </w:r>
      <w:r w:rsidRPr="00AF4CC9">
        <w:rPr>
          <w:sz w:val="24"/>
          <w:szCs w:val="24"/>
          <w:u w:val="thick"/>
        </w:rPr>
        <w:t>supportive services</w:t>
      </w:r>
      <w:r w:rsidRPr="00AF4CC9">
        <w:rPr>
          <w:sz w:val="24"/>
          <w:szCs w:val="24"/>
        </w:rPr>
        <w:t>:</w:t>
      </w:r>
    </w:p>
    <w:p w:rsidR="00F36444" w:rsidRPr="00AF4CC9" w:rsidRDefault="00F36444" w:rsidP="00F36444">
      <w:pPr>
        <w:numPr>
          <w:ilvl w:val="0"/>
          <w:numId w:val="2"/>
        </w:numPr>
        <w:rPr>
          <w:sz w:val="24"/>
          <w:szCs w:val="24"/>
        </w:rPr>
      </w:pPr>
      <w:r w:rsidRPr="00AF4CC9">
        <w:rPr>
          <w:b/>
          <w:sz w:val="24"/>
          <w:szCs w:val="24"/>
        </w:rPr>
        <w:t>Financial Assistance Voucher</w:t>
      </w:r>
    </w:p>
    <w:p w:rsidR="00F36444" w:rsidRPr="00AF4CC9" w:rsidRDefault="00F36444" w:rsidP="00F36444">
      <w:pPr>
        <w:rPr>
          <w:sz w:val="24"/>
          <w:szCs w:val="24"/>
        </w:rPr>
      </w:pPr>
      <w:r w:rsidRPr="00AF4CC9">
        <w:rPr>
          <w:sz w:val="24"/>
          <w:szCs w:val="24"/>
        </w:rPr>
        <w:t xml:space="preserve">The following forms </w:t>
      </w:r>
      <w:r w:rsidRPr="00AF4CC9">
        <w:rPr>
          <w:b/>
          <w:sz w:val="24"/>
          <w:szCs w:val="24"/>
        </w:rPr>
        <w:t xml:space="preserve">may be used, </w:t>
      </w:r>
      <w:r w:rsidRPr="00AF4CC9">
        <w:rPr>
          <w:sz w:val="24"/>
          <w:szCs w:val="24"/>
        </w:rPr>
        <w:t xml:space="preserve">when applicable, to assist in delivering </w:t>
      </w:r>
      <w:r w:rsidRPr="00AF4CC9">
        <w:rPr>
          <w:sz w:val="24"/>
          <w:szCs w:val="24"/>
          <w:u w:val="thick"/>
        </w:rPr>
        <w:t>supportive services</w:t>
      </w:r>
      <w:r w:rsidRPr="00AF4CC9">
        <w:rPr>
          <w:sz w:val="24"/>
          <w:szCs w:val="24"/>
        </w:rPr>
        <w:t>:</w:t>
      </w:r>
    </w:p>
    <w:p w:rsidR="00F36444" w:rsidRPr="00AF4CC9" w:rsidRDefault="00F36444" w:rsidP="0046363A">
      <w:pPr>
        <w:numPr>
          <w:ilvl w:val="0"/>
          <w:numId w:val="2"/>
        </w:numPr>
        <w:spacing w:after="0" w:line="240" w:lineRule="auto"/>
        <w:ind w:left="850" w:hanging="360"/>
        <w:rPr>
          <w:sz w:val="24"/>
          <w:szCs w:val="24"/>
        </w:rPr>
      </w:pPr>
      <w:r w:rsidRPr="00AF4CC9">
        <w:rPr>
          <w:b/>
          <w:sz w:val="24"/>
          <w:szCs w:val="24"/>
        </w:rPr>
        <w:t>Support Service Referral Form</w:t>
      </w:r>
    </w:p>
    <w:p w:rsidR="00F36444" w:rsidRPr="00AF4CC9" w:rsidRDefault="00F36444" w:rsidP="0046363A">
      <w:pPr>
        <w:numPr>
          <w:ilvl w:val="0"/>
          <w:numId w:val="2"/>
        </w:numPr>
        <w:spacing w:after="0" w:line="240" w:lineRule="auto"/>
        <w:ind w:left="850" w:hanging="360"/>
        <w:rPr>
          <w:sz w:val="24"/>
          <w:szCs w:val="24"/>
        </w:rPr>
      </w:pPr>
      <w:r w:rsidRPr="00AF4CC9">
        <w:rPr>
          <w:b/>
          <w:sz w:val="24"/>
          <w:szCs w:val="24"/>
        </w:rPr>
        <w:t>Child Care Log</w:t>
      </w:r>
    </w:p>
    <w:p w:rsidR="00F36444" w:rsidRPr="00AF4CC9" w:rsidRDefault="00F36444" w:rsidP="0046363A">
      <w:pPr>
        <w:numPr>
          <w:ilvl w:val="0"/>
          <w:numId w:val="2"/>
        </w:numPr>
        <w:spacing w:after="0" w:line="240" w:lineRule="auto"/>
        <w:ind w:left="850" w:hanging="360"/>
        <w:rPr>
          <w:sz w:val="24"/>
          <w:szCs w:val="24"/>
        </w:rPr>
      </w:pPr>
      <w:r w:rsidRPr="00AF4CC9">
        <w:rPr>
          <w:b/>
          <w:sz w:val="24"/>
          <w:szCs w:val="24"/>
        </w:rPr>
        <w:t>Motor Vehicle Mileage Log</w:t>
      </w:r>
    </w:p>
    <w:p w:rsidR="00F36444" w:rsidRPr="00AF4CC9" w:rsidRDefault="00F36444" w:rsidP="0046363A">
      <w:pPr>
        <w:numPr>
          <w:ilvl w:val="0"/>
          <w:numId w:val="2"/>
        </w:numPr>
        <w:spacing w:after="0" w:line="240" w:lineRule="auto"/>
        <w:ind w:left="850" w:hanging="360"/>
        <w:rPr>
          <w:sz w:val="24"/>
          <w:szCs w:val="24"/>
        </w:rPr>
      </w:pPr>
      <w:r w:rsidRPr="00AF4CC9">
        <w:rPr>
          <w:b/>
          <w:sz w:val="24"/>
          <w:szCs w:val="24"/>
        </w:rPr>
        <w:t>Case Management Notes</w:t>
      </w:r>
    </w:p>
    <w:p w:rsidR="0046363A" w:rsidRPr="00AF4CC9" w:rsidRDefault="0046363A" w:rsidP="00F36444">
      <w:pPr>
        <w:rPr>
          <w:b/>
          <w:bCs/>
          <w:sz w:val="24"/>
          <w:szCs w:val="24"/>
        </w:rPr>
      </w:pPr>
    </w:p>
    <w:p w:rsidR="00F36444" w:rsidRPr="00AF4CC9" w:rsidRDefault="00F36444" w:rsidP="00F36444">
      <w:pPr>
        <w:rPr>
          <w:sz w:val="24"/>
          <w:szCs w:val="24"/>
        </w:rPr>
      </w:pPr>
      <w:r w:rsidRPr="00AF4CC9">
        <w:rPr>
          <w:b/>
          <w:bCs/>
          <w:sz w:val="24"/>
          <w:szCs w:val="24"/>
        </w:rPr>
        <w:t>Approvals</w:t>
      </w:r>
    </w:p>
    <w:p w:rsidR="00F36444" w:rsidRPr="00AF4CC9" w:rsidRDefault="00F36444" w:rsidP="00F36444">
      <w:pPr>
        <w:rPr>
          <w:sz w:val="24"/>
          <w:szCs w:val="24"/>
        </w:rPr>
      </w:pPr>
      <w:r w:rsidRPr="00AF4CC9">
        <w:rPr>
          <w:sz w:val="24"/>
          <w:szCs w:val="24"/>
        </w:rPr>
        <w:t>All described supportive service actions requiring approval were described in the Supportive Services Chart. In addition, given the unique nature of client services delivery, the potential exists for other situations to arise that warrant supportive services but are not addressed in the previous policy. All requests to the Administrative Entity for approval require the following documentation:</w:t>
      </w:r>
    </w:p>
    <w:p w:rsidR="00F36444" w:rsidRPr="00AF4CC9" w:rsidRDefault="00F36444" w:rsidP="00F36444">
      <w:pPr>
        <w:numPr>
          <w:ilvl w:val="0"/>
          <w:numId w:val="1"/>
        </w:numPr>
        <w:rPr>
          <w:sz w:val="24"/>
          <w:szCs w:val="24"/>
        </w:rPr>
      </w:pPr>
      <w:r w:rsidRPr="00AF4CC9">
        <w:rPr>
          <w:sz w:val="24"/>
          <w:szCs w:val="24"/>
        </w:rPr>
        <w:lastRenderedPageBreak/>
        <w:t>Client Name and Social Security Number and;</w:t>
      </w:r>
      <w:bookmarkStart w:id="0" w:name="_GoBack"/>
      <w:bookmarkEnd w:id="0"/>
    </w:p>
    <w:p w:rsidR="00F36444" w:rsidRPr="00AF4CC9" w:rsidRDefault="00F36444" w:rsidP="00F36444">
      <w:pPr>
        <w:numPr>
          <w:ilvl w:val="0"/>
          <w:numId w:val="1"/>
        </w:numPr>
        <w:rPr>
          <w:sz w:val="24"/>
          <w:szCs w:val="24"/>
        </w:rPr>
      </w:pPr>
      <w:r w:rsidRPr="00AF4CC9">
        <w:rPr>
          <w:sz w:val="24"/>
          <w:szCs w:val="24"/>
        </w:rPr>
        <w:t>Identification of the additional supportive services needed and approximate cost and;</w:t>
      </w:r>
    </w:p>
    <w:p w:rsidR="00F36444" w:rsidRPr="00AF4CC9" w:rsidRDefault="00F36444" w:rsidP="00F36444">
      <w:pPr>
        <w:numPr>
          <w:ilvl w:val="0"/>
          <w:numId w:val="1"/>
        </w:numPr>
        <w:rPr>
          <w:sz w:val="24"/>
          <w:szCs w:val="24"/>
        </w:rPr>
      </w:pPr>
      <w:r w:rsidRPr="00AF4CC9">
        <w:rPr>
          <w:sz w:val="24"/>
          <w:szCs w:val="24"/>
        </w:rPr>
        <w:t>Justification for request, including documentation of need and;</w:t>
      </w:r>
    </w:p>
    <w:p w:rsidR="00F36444" w:rsidRPr="00AF4CC9" w:rsidRDefault="00F36444" w:rsidP="00F36444">
      <w:pPr>
        <w:numPr>
          <w:ilvl w:val="0"/>
          <w:numId w:val="1"/>
        </w:numPr>
        <w:rPr>
          <w:sz w:val="24"/>
          <w:szCs w:val="24"/>
        </w:rPr>
      </w:pPr>
      <w:r w:rsidRPr="00AF4CC9">
        <w:rPr>
          <w:sz w:val="24"/>
          <w:szCs w:val="24"/>
        </w:rPr>
        <w:t>Current client activity status.</w:t>
      </w:r>
    </w:p>
    <w:p w:rsidR="00F36444" w:rsidRPr="00AF4CC9" w:rsidRDefault="00F36444" w:rsidP="00F36444">
      <w:pPr>
        <w:rPr>
          <w:sz w:val="24"/>
          <w:szCs w:val="24"/>
        </w:rPr>
      </w:pPr>
    </w:p>
    <w:p w:rsidR="00F36444" w:rsidRPr="00AF4CC9" w:rsidRDefault="00F36444" w:rsidP="00F36444">
      <w:pPr>
        <w:rPr>
          <w:sz w:val="24"/>
          <w:szCs w:val="24"/>
        </w:rPr>
      </w:pPr>
    </w:p>
    <w:p w:rsidR="00F36444" w:rsidRPr="00AF4CC9" w:rsidRDefault="00F36444" w:rsidP="00F36444">
      <w:pPr>
        <w:rPr>
          <w:sz w:val="24"/>
          <w:szCs w:val="24"/>
        </w:rPr>
      </w:pPr>
    </w:p>
    <w:sectPr w:rsidR="00F36444" w:rsidRPr="00AF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431F1"/>
    <w:multiLevelType w:val="hybridMultilevel"/>
    <w:tmpl w:val="50645F0E"/>
    <w:lvl w:ilvl="0" w:tplc="197C039A">
      <w:start w:val="1"/>
      <w:numFmt w:val="bullet"/>
      <w:lvlText w:val="•"/>
      <w:lvlJc w:val="left"/>
      <w:pPr>
        <w:ind w:left="853" w:hanging="352"/>
      </w:pPr>
      <w:rPr>
        <w:rFonts w:ascii="Arial" w:eastAsia="Arial" w:hAnsi="Arial" w:hint="default"/>
        <w:w w:val="136"/>
        <w:sz w:val="21"/>
        <w:szCs w:val="21"/>
      </w:rPr>
    </w:lvl>
    <w:lvl w:ilvl="1" w:tplc="87F0A550">
      <w:start w:val="1"/>
      <w:numFmt w:val="bullet"/>
      <w:lvlText w:val="•"/>
      <w:lvlJc w:val="left"/>
      <w:pPr>
        <w:ind w:left="1784" w:hanging="352"/>
      </w:pPr>
      <w:rPr>
        <w:rFonts w:hint="default"/>
      </w:rPr>
    </w:lvl>
    <w:lvl w:ilvl="2" w:tplc="733AE0C2">
      <w:start w:val="1"/>
      <w:numFmt w:val="bullet"/>
      <w:lvlText w:val="•"/>
      <w:lvlJc w:val="left"/>
      <w:pPr>
        <w:ind w:left="2714" w:hanging="352"/>
      </w:pPr>
      <w:rPr>
        <w:rFonts w:hint="default"/>
      </w:rPr>
    </w:lvl>
    <w:lvl w:ilvl="3" w:tplc="27543648">
      <w:start w:val="1"/>
      <w:numFmt w:val="bullet"/>
      <w:lvlText w:val="•"/>
      <w:lvlJc w:val="left"/>
      <w:pPr>
        <w:ind w:left="3645" w:hanging="352"/>
      </w:pPr>
      <w:rPr>
        <w:rFonts w:hint="default"/>
      </w:rPr>
    </w:lvl>
    <w:lvl w:ilvl="4" w:tplc="D088AF8E">
      <w:start w:val="1"/>
      <w:numFmt w:val="bullet"/>
      <w:lvlText w:val="•"/>
      <w:lvlJc w:val="left"/>
      <w:pPr>
        <w:ind w:left="4576" w:hanging="352"/>
      </w:pPr>
      <w:rPr>
        <w:rFonts w:hint="default"/>
      </w:rPr>
    </w:lvl>
    <w:lvl w:ilvl="5" w:tplc="558A0506">
      <w:start w:val="1"/>
      <w:numFmt w:val="bullet"/>
      <w:lvlText w:val="•"/>
      <w:lvlJc w:val="left"/>
      <w:pPr>
        <w:ind w:left="5506" w:hanging="352"/>
      </w:pPr>
      <w:rPr>
        <w:rFonts w:hint="default"/>
      </w:rPr>
    </w:lvl>
    <w:lvl w:ilvl="6" w:tplc="2EF6E6E4">
      <w:start w:val="1"/>
      <w:numFmt w:val="bullet"/>
      <w:lvlText w:val="•"/>
      <w:lvlJc w:val="left"/>
      <w:pPr>
        <w:ind w:left="6437" w:hanging="352"/>
      </w:pPr>
      <w:rPr>
        <w:rFonts w:hint="default"/>
      </w:rPr>
    </w:lvl>
    <w:lvl w:ilvl="7" w:tplc="45E0F70A">
      <w:start w:val="1"/>
      <w:numFmt w:val="bullet"/>
      <w:lvlText w:val="•"/>
      <w:lvlJc w:val="left"/>
      <w:pPr>
        <w:ind w:left="7368" w:hanging="352"/>
      </w:pPr>
      <w:rPr>
        <w:rFonts w:hint="default"/>
      </w:rPr>
    </w:lvl>
    <w:lvl w:ilvl="8" w:tplc="D646F6A0">
      <w:start w:val="1"/>
      <w:numFmt w:val="bullet"/>
      <w:lvlText w:val="•"/>
      <w:lvlJc w:val="left"/>
      <w:pPr>
        <w:ind w:left="8298" w:hanging="352"/>
      </w:pPr>
      <w:rPr>
        <w:rFonts w:hint="default"/>
      </w:rPr>
    </w:lvl>
  </w:abstractNum>
  <w:abstractNum w:abstractNumId="1">
    <w:nsid w:val="563E4EA2"/>
    <w:multiLevelType w:val="hybridMultilevel"/>
    <w:tmpl w:val="B5867708"/>
    <w:lvl w:ilvl="0" w:tplc="F404C7E2">
      <w:start w:val="1"/>
      <w:numFmt w:val="bullet"/>
      <w:lvlText w:val="•"/>
      <w:lvlJc w:val="left"/>
      <w:pPr>
        <w:ind w:left="879" w:hanging="352"/>
      </w:pPr>
      <w:rPr>
        <w:rFonts w:ascii="Arial" w:eastAsia="Arial" w:hAnsi="Arial" w:hint="default"/>
        <w:w w:val="122"/>
        <w:sz w:val="21"/>
        <w:szCs w:val="21"/>
      </w:rPr>
    </w:lvl>
    <w:lvl w:ilvl="1" w:tplc="B92A3876">
      <w:start w:val="1"/>
      <w:numFmt w:val="bullet"/>
      <w:lvlText w:val="•"/>
      <w:lvlJc w:val="left"/>
      <w:pPr>
        <w:ind w:left="1815" w:hanging="352"/>
      </w:pPr>
      <w:rPr>
        <w:rFonts w:hint="default"/>
      </w:rPr>
    </w:lvl>
    <w:lvl w:ilvl="2" w:tplc="7E2E1BF4">
      <w:start w:val="1"/>
      <w:numFmt w:val="bullet"/>
      <w:lvlText w:val="•"/>
      <w:lvlJc w:val="left"/>
      <w:pPr>
        <w:ind w:left="2751" w:hanging="352"/>
      </w:pPr>
      <w:rPr>
        <w:rFonts w:hint="default"/>
      </w:rPr>
    </w:lvl>
    <w:lvl w:ilvl="3" w:tplc="A136133C">
      <w:start w:val="1"/>
      <w:numFmt w:val="bullet"/>
      <w:lvlText w:val="•"/>
      <w:lvlJc w:val="left"/>
      <w:pPr>
        <w:ind w:left="3687" w:hanging="352"/>
      </w:pPr>
      <w:rPr>
        <w:rFonts w:hint="default"/>
      </w:rPr>
    </w:lvl>
    <w:lvl w:ilvl="4" w:tplc="522A8932">
      <w:start w:val="1"/>
      <w:numFmt w:val="bullet"/>
      <w:lvlText w:val="•"/>
      <w:lvlJc w:val="left"/>
      <w:pPr>
        <w:ind w:left="4623" w:hanging="352"/>
      </w:pPr>
      <w:rPr>
        <w:rFonts w:hint="default"/>
      </w:rPr>
    </w:lvl>
    <w:lvl w:ilvl="5" w:tplc="B52CD326">
      <w:start w:val="1"/>
      <w:numFmt w:val="bullet"/>
      <w:lvlText w:val="•"/>
      <w:lvlJc w:val="left"/>
      <w:pPr>
        <w:ind w:left="5559" w:hanging="352"/>
      </w:pPr>
      <w:rPr>
        <w:rFonts w:hint="default"/>
      </w:rPr>
    </w:lvl>
    <w:lvl w:ilvl="6" w:tplc="E71823E6">
      <w:start w:val="1"/>
      <w:numFmt w:val="bullet"/>
      <w:lvlText w:val="•"/>
      <w:lvlJc w:val="left"/>
      <w:pPr>
        <w:ind w:left="6495" w:hanging="352"/>
      </w:pPr>
      <w:rPr>
        <w:rFonts w:hint="default"/>
      </w:rPr>
    </w:lvl>
    <w:lvl w:ilvl="7" w:tplc="ACE080C2">
      <w:start w:val="1"/>
      <w:numFmt w:val="bullet"/>
      <w:lvlText w:val="•"/>
      <w:lvlJc w:val="left"/>
      <w:pPr>
        <w:ind w:left="7431" w:hanging="352"/>
      </w:pPr>
      <w:rPr>
        <w:rFonts w:hint="default"/>
      </w:rPr>
    </w:lvl>
    <w:lvl w:ilvl="8" w:tplc="F92CD7B4">
      <w:start w:val="1"/>
      <w:numFmt w:val="bullet"/>
      <w:lvlText w:val="•"/>
      <w:lvlJc w:val="left"/>
      <w:pPr>
        <w:ind w:left="8367" w:hanging="352"/>
      </w:pPr>
      <w:rPr>
        <w:rFonts w:hint="default"/>
      </w:rPr>
    </w:lvl>
  </w:abstractNum>
  <w:abstractNum w:abstractNumId="2">
    <w:nsid w:val="6B63121D"/>
    <w:multiLevelType w:val="hybridMultilevel"/>
    <w:tmpl w:val="2E606D3E"/>
    <w:lvl w:ilvl="0" w:tplc="53D4428A">
      <w:start w:val="1"/>
      <w:numFmt w:val="bullet"/>
      <w:lvlText w:val="•"/>
      <w:lvlJc w:val="left"/>
      <w:pPr>
        <w:ind w:left="843" w:hanging="359"/>
      </w:pPr>
      <w:rPr>
        <w:rFonts w:ascii="Arial" w:eastAsia="Arial" w:hAnsi="Arial" w:hint="default"/>
        <w:w w:val="120"/>
        <w:sz w:val="19"/>
        <w:szCs w:val="19"/>
      </w:rPr>
    </w:lvl>
    <w:lvl w:ilvl="1" w:tplc="2886F43A">
      <w:start w:val="1"/>
      <w:numFmt w:val="bullet"/>
      <w:lvlText w:val="•"/>
      <w:lvlJc w:val="left"/>
      <w:pPr>
        <w:ind w:left="1782" w:hanging="359"/>
      </w:pPr>
      <w:rPr>
        <w:rFonts w:hint="default"/>
      </w:rPr>
    </w:lvl>
    <w:lvl w:ilvl="2" w:tplc="1AB4C99E">
      <w:start w:val="1"/>
      <w:numFmt w:val="bullet"/>
      <w:lvlText w:val="•"/>
      <w:lvlJc w:val="left"/>
      <w:pPr>
        <w:ind w:left="2722" w:hanging="359"/>
      </w:pPr>
      <w:rPr>
        <w:rFonts w:hint="default"/>
      </w:rPr>
    </w:lvl>
    <w:lvl w:ilvl="3" w:tplc="3342EB6C">
      <w:start w:val="1"/>
      <w:numFmt w:val="bullet"/>
      <w:lvlText w:val="•"/>
      <w:lvlJc w:val="left"/>
      <w:pPr>
        <w:ind w:left="3662" w:hanging="359"/>
      </w:pPr>
      <w:rPr>
        <w:rFonts w:hint="default"/>
      </w:rPr>
    </w:lvl>
    <w:lvl w:ilvl="4" w:tplc="257A0AC0">
      <w:start w:val="1"/>
      <w:numFmt w:val="bullet"/>
      <w:lvlText w:val="•"/>
      <w:lvlJc w:val="left"/>
      <w:pPr>
        <w:ind w:left="4601" w:hanging="359"/>
      </w:pPr>
      <w:rPr>
        <w:rFonts w:hint="default"/>
      </w:rPr>
    </w:lvl>
    <w:lvl w:ilvl="5" w:tplc="A55C3682">
      <w:start w:val="1"/>
      <w:numFmt w:val="bullet"/>
      <w:lvlText w:val="•"/>
      <w:lvlJc w:val="left"/>
      <w:pPr>
        <w:ind w:left="5541" w:hanging="359"/>
      </w:pPr>
      <w:rPr>
        <w:rFonts w:hint="default"/>
      </w:rPr>
    </w:lvl>
    <w:lvl w:ilvl="6" w:tplc="9AA8B15C">
      <w:start w:val="1"/>
      <w:numFmt w:val="bullet"/>
      <w:lvlText w:val="•"/>
      <w:lvlJc w:val="left"/>
      <w:pPr>
        <w:ind w:left="6481" w:hanging="359"/>
      </w:pPr>
      <w:rPr>
        <w:rFonts w:hint="default"/>
      </w:rPr>
    </w:lvl>
    <w:lvl w:ilvl="7" w:tplc="8EFAA24A">
      <w:start w:val="1"/>
      <w:numFmt w:val="bullet"/>
      <w:lvlText w:val="•"/>
      <w:lvlJc w:val="left"/>
      <w:pPr>
        <w:ind w:left="7420" w:hanging="359"/>
      </w:pPr>
      <w:rPr>
        <w:rFonts w:hint="default"/>
      </w:rPr>
    </w:lvl>
    <w:lvl w:ilvl="8" w:tplc="88E4370E">
      <w:start w:val="1"/>
      <w:numFmt w:val="bullet"/>
      <w:lvlText w:val="•"/>
      <w:lvlJc w:val="left"/>
      <w:pPr>
        <w:ind w:left="8360" w:hanging="35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BD"/>
    <w:rsid w:val="00246582"/>
    <w:rsid w:val="00277C68"/>
    <w:rsid w:val="0046363A"/>
    <w:rsid w:val="008314C2"/>
    <w:rsid w:val="00AF4CC9"/>
    <w:rsid w:val="00BA19BD"/>
    <w:rsid w:val="00C670C6"/>
    <w:rsid w:val="00F3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4A38F-9336-4881-AA34-B815DBE8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A19BD"/>
    <w:pPr>
      <w:widowControl w:val="0"/>
      <w:spacing w:after="0" w:line="240" w:lineRule="auto"/>
      <w:ind w:left="20"/>
      <w:outlineLvl w:val="0"/>
    </w:pPr>
    <w:rPr>
      <w:rFonts w:ascii="Arial" w:eastAsia="Arial" w:hAnsi="Arial"/>
      <w:b/>
      <w:bCs/>
      <w:sz w:val="23"/>
      <w:szCs w:val="23"/>
    </w:rPr>
  </w:style>
  <w:style w:type="paragraph" w:styleId="Heading2">
    <w:name w:val="heading 2"/>
    <w:basedOn w:val="Normal"/>
    <w:link w:val="Heading2Char"/>
    <w:uiPriority w:val="1"/>
    <w:qFormat/>
    <w:rsid w:val="00BA19BD"/>
    <w:pPr>
      <w:widowControl w:val="0"/>
      <w:spacing w:before="54" w:after="0" w:line="240" w:lineRule="auto"/>
      <w:ind w:left="105"/>
      <w:outlineLvl w:val="1"/>
    </w:pPr>
    <w:rPr>
      <w:rFonts w:ascii="Arial" w:eastAsia="Arial" w:hAnsi="Arial"/>
      <w:sz w:val="23"/>
      <w:szCs w:val="23"/>
    </w:rPr>
  </w:style>
  <w:style w:type="paragraph" w:styleId="Heading3">
    <w:name w:val="heading 3"/>
    <w:basedOn w:val="Normal"/>
    <w:link w:val="Heading3Char"/>
    <w:uiPriority w:val="1"/>
    <w:qFormat/>
    <w:rsid w:val="00BA19BD"/>
    <w:pPr>
      <w:widowControl w:val="0"/>
      <w:spacing w:after="0" w:line="240" w:lineRule="auto"/>
      <w:ind w:left="112"/>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19BD"/>
    <w:rPr>
      <w:rFonts w:ascii="Arial" w:eastAsia="Arial" w:hAnsi="Arial"/>
      <w:b/>
      <w:bCs/>
      <w:sz w:val="23"/>
      <w:szCs w:val="23"/>
    </w:rPr>
  </w:style>
  <w:style w:type="paragraph" w:styleId="BodyText">
    <w:name w:val="Body Text"/>
    <w:basedOn w:val="Normal"/>
    <w:link w:val="BodyTextChar"/>
    <w:uiPriority w:val="1"/>
    <w:qFormat/>
    <w:rsid w:val="00BA19BD"/>
    <w:pPr>
      <w:widowControl w:val="0"/>
      <w:spacing w:after="0" w:line="240" w:lineRule="auto"/>
      <w:ind w:left="129" w:hanging="360"/>
    </w:pPr>
    <w:rPr>
      <w:rFonts w:ascii="Arial" w:eastAsia="Arial" w:hAnsi="Arial"/>
      <w:sz w:val="21"/>
      <w:szCs w:val="21"/>
    </w:rPr>
  </w:style>
  <w:style w:type="character" w:customStyle="1" w:styleId="BodyTextChar">
    <w:name w:val="Body Text Char"/>
    <w:basedOn w:val="DefaultParagraphFont"/>
    <w:link w:val="BodyText"/>
    <w:uiPriority w:val="1"/>
    <w:rsid w:val="00BA19BD"/>
    <w:rPr>
      <w:rFonts w:ascii="Arial" w:eastAsia="Arial" w:hAnsi="Arial"/>
      <w:sz w:val="21"/>
      <w:szCs w:val="21"/>
    </w:rPr>
  </w:style>
  <w:style w:type="paragraph" w:styleId="Header">
    <w:name w:val="header"/>
    <w:basedOn w:val="Normal"/>
    <w:link w:val="HeaderChar"/>
    <w:uiPriority w:val="99"/>
    <w:unhideWhenUsed/>
    <w:rsid w:val="00BA19BD"/>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A19BD"/>
  </w:style>
  <w:style w:type="paragraph" w:customStyle="1" w:styleId="Style1">
    <w:name w:val="Style1"/>
    <w:basedOn w:val="Normal"/>
    <w:rsid w:val="00BA19BD"/>
    <w:pPr>
      <w:spacing w:after="0" w:line="240" w:lineRule="auto"/>
      <w:ind w:left="720" w:right="720"/>
    </w:pPr>
    <w:rPr>
      <w:rFonts w:ascii="Arial" w:eastAsia="Times New Roman" w:hAnsi="Arial" w:cs="Arial"/>
      <w:color w:val="000080"/>
      <w:szCs w:val="20"/>
    </w:rPr>
  </w:style>
  <w:style w:type="character" w:customStyle="1" w:styleId="Heading2Char">
    <w:name w:val="Heading 2 Char"/>
    <w:basedOn w:val="DefaultParagraphFont"/>
    <w:link w:val="Heading2"/>
    <w:uiPriority w:val="1"/>
    <w:rsid w:val="00BA19BD"/>
    <w:rPr>
      <w:rFonts w:ascii="Arial" w:eastAsia="Arial" w:hAnsi="Arial"/>
      <w:sz w:val="23"/>
      <w:szCs w:val="23"/>
    </w:rPr>
  </w:style>
  <w:style w:type="character" w:customStyle="1" w:styleId="Heading3Char">
    <w:name w:val="Heading 3 Char"/>
    <w:basedOn w:val="DefaultParagraphFont"/>
    <w:link w:val="Heading3"/>
    <w:uiPriority w:val="1"/>
    <w:rsid w:val="00BA19BD"/>
    <w:rPr>
      <w:rFonts w:ascii="Arial" w:eastAsia="Arial" w:hAnsi="Arial"/>
      <w:b/>
      <w:bCs/>
    </w:rPr>
  </w:style>
  <w:style w:type="paragraph" w:styleId="ListParagraph">
    <w:name w:val="List Paragraph"/>
    <w:basedOn w:val="Normal"/>
    <w:uiPriority w:val="1"/>
    <w:qFormat/>
    <w:rsid w:val="00BA19BD"/>
    <w:pPr>
      <w:widowControl w:val="0"/>
      <w:spacing w:after="0" w:line="240" w:lineRule="auto"/>
    </w:pPr>
  </w:style>
  <w:style w:type="paragraph" w:customStyle="1" w:styleId="TableParagraph">
    <w:name w:val="Table Paragraph"/>
    <w:basedOn w:val="Normal"/>
    <w:uiPriority w:val="1"/>
    <w:qFormat/>
    <w:rsid w:val="00BA19BD"/>
    <w:pPr>
      <w:widowControl w:val="0"/>
      <w:spacing w:after="0" w:line="240" w:lineRule="auto"/>
    </w:pPr>
  </w:style>
  <w:style w:type="paragraph" w:styleId="NoSpacing">
    <w:name w:val="No Spacing"/>
    <w:uiPriority w:val="1"/>
    <w:qFormat/>
    <w:rsid w:val="00BA19B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Briana</dc:creator>
  <cp:keywords/>
  <dc:description/>
  <cp:lastModifiedBy>Bauer, Briana</cp:lastModifiedBy>
  <cp:revision>5</cp:revision>
  <dcterms:created xsi:type="dcterms:W3CDTF">2015-05-12T21:00:00Z</dcterms:created>
  <dcterms:modified xsi:type="dcterms:W3CDTF">2015-05-18T18:37:00Z</dcterms:modified>
</cp:coreProperties>
</file>